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5"/>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6"/>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shd w:val="clear" w:color="auto" w:fill="auto"/>
          </w:tcPr>
          <w:p>
            <w:pPr>
              <w:ind w:firstLine="480"/>
              <w:jc w:val="left"/>
              <w:rPr>
                <w:rFonts w:ascii="等线" w:hAnsi="等线" w:eastAsia="等线"/>
                <w:szCs w:val="22"/>
              </w:rPr>
            </w:pPr>
            <w:r>
              <w:rPr>
                <w:rFonts w:ascii="等线" w:hAnsi="等线" w:eastAsia="等线"/>
                <w:szCs w:val="22"/>
              </w:rPr>
              <w:drawing>
                <wp:inline distT="0" distB="0" distL="0" distR="0">
                  <wp:extent cx="2394585" cy="179705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94585" cy="1797050"/>
                          </a:xfrm>
                          <a:prstGeom prst="rect">
                            <a:avLst/>
                          </a:prstGeom>
                          <a:noFill/>
                          <a:ln>
                            <a:noFill/>
                          </a:ln>
                        </pic:spPr>
                      </pic:pic>
                    </a:graphicData>
                  </a:graphic>
                </wp:inline>
              </w:drawing>
            </w:r>
          </w:p>
        </w:tc>
        <w:tc>
          <w:tcPr>
            <w:tcW w:w="4536" w:type="dxa"/>
            <w:shd w:val="clear" w:color="auto" w:fill="auto"/>
          </w:tcPr>
          <w:p>
            <w:pPr>
              <w:ind w:firstLine="480"/>
              <w:jc w:val="left"/>
              <w:rPr>
                <w:rFonts w:ascii="等线" w:hAnsi="等线" w:eastAsia="等线"/>
                <w:szCs w:val="22"/>
              </w:rPr>
            </w:pPr>
            <w:r>
              <w:rPr>
                <w:rFonts w:ascii="等线" w:hAnsi="等线" w:eastAsia="等线"/>
                <w:szCs w:val="22"/>
              </w:rPr>
              <w:drawing>
                <wp:inline distT="0" distB="0" distL="0" distR="0">
                  <wp:extent cx="2399665" cy="180213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99665" cy="18021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shd w:val="clear" w:color="auto" w:fill="auto"/>
          </w:tcPr>
          <w:p>
            <w:pPr>
              <w:ind w:firstLine="480"/>
              <w:jc w:val="center"/>
              <w:rPr>
                <w:rFonts w:ascii="宋体" w:hAnsi="宋体" w:eastAsia="等线"/>
                <w:szCs w:val="22"/>
              </w:rPr>
            </w:pPr>
            <w:r>
              <w:rPr>
                <w:rFonts w:hint="eastAsia" w:ascii="宋体" w:hAnsi="宋体" w:eastAsia="等线"/>
                <w:szCs w:val="22"/>
              </w:rPr>
              <w:t>项目拟建地（现有锅炉房）</w:t>
            </w:r>
          </w:p>
        </w:tc>
        <w:tc>
          <w:tcPr>
            <w:tcW w:w="4536" w:type="dxa"/>
            <w:shd w:val="clear" w:color="auto" w:fill="auto"/>
          </w:tcPr>
          <w:p>
            <w:pPr>
              <w:ind w:firstLine="480"/>
              <w:jc w:val="center"/>
              <w:rPr>
                <w:rFonts w:ascii="宋体" w:hAnsi="宋体" w:eastAsia="等线"/>
                <w:szCs w:val="22"/>
              </w:rPr>
            </w:pPr>
            <w:r>
              <w:rPr>
                <w:rFonts w:hint="eastAsia" w:ascii="宋体" w:hAnsi="宋体" w:eastAsia="等线"/>
                <w:szCs w:val="22"/>
              </w:rPr>
              <w:t>石七路（锅炉房北侧）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shd w:val="clear" w:color="auto" w:fill="auto"/>
          </w:tcPr>
          <w:p>
            <w:pPr>
              <w:ind w:firstLine="480"/>
              <w:rPr>
                <w:rFonts w:ascii="等线" w:hAnsi="等线" w:eastAsia="等线"/>
                <w:szCs w:val="22"/>
              </w:rPr>
            </w:pPr>
            <w:r>
              <w:rPr>
                <w:rFonts w:ascii="等线" w:hAnsi="等线" w:eastAsia="等线"/>
                <w:szCs w:val="22"/>
              </w:rPr>
              <w:drawing>
                <wp:inline distT="0" distB="0" distL="0" distR="0">
                  <wp:extent cx="2404745" cy="1802130"/>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04745" cy="1802130"/>
                          </a:xfrm>
                          <a:prstGeom prst="rect">
                            <a:avLst/>
                          </a:prstGeom>
                          <a:noFill/>
                          <a:ln>
                            <a:noFill/>
                          </a:ln>
                        </pic:spPr>
                      </pic:pic>
                    </a:graphicData>
                  </a:graphic>
                </wp:inline>
              </w:drawing>
            </w:r>
          </w:p>
        </w:tc>
        <w:tc>
          <w:tcPr>
            <w:tcW w:w="4536" w:type="dxa"/>
            <w:shd w:val="clear" w:color="auto" w:fill="auto"/>
          </w:tcPr>
          <w:p>
            <w:pPr>
              <w:ind w:firstLine="480"/>
              <w:rPr>
                <w:rFonts w:ascii="等线" w:hAnsi="等线" w:eastAsia="等线"/>
                <w:szCs w:val="22"/>
              </w:rPr>
            </w:pPr>
            <w:r>
              <w:rPr>
                <w:rFonts w:ascii="等线" w:hAnsi="等线" w:eastAsia="等线"/>
                <w:szCs w:val="22"/>
              </w:rPr>
              <w:drawing>
                <wp:inline distT="0" distB="0" distL="0" distR="0">
                  <wp:extent cx="2388870" cy="18021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88870" cy="18021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shd w:val="clear" w:color="auto" w:fill="auto"/>
          </w:tcPr>
          <w:p>
            <w:pPr>
              <w:ind w:firstLine="480"/>
              <w:jc w:val="center"/>
              <w:rPr>
                <w:rFonts w:ascii="宋体" w:hAnsi="宋体" w:eastAsia="等线"/>
                <w:szCs w:val="22"/>
              </w:rPr>
            </w:pPr>
            <w:r>
              <w:rPr>
                <w:rFonts w:hint="eastAsia" w:ascii="宋体" w:hAnsi="宋体" w:eastAsia="等线"/>
                <w:szCs w:val="22"/>
              </w:rPr>
              <w:t>锅炉房西侧</w:t>
            </w:r>
          </w:p>
        </w:tc>
        <w:tc>
          <w:tcPr>
            <w:tcW w:w="4536" w:type="dxa"/>
            <w:shd w:val="clear" w:color="auto" w:fill="auto"/>
          </w:tcPr>
          <w:p>
            <w:pPr>
              <w:ind w:firstLine="480"/>
              <w:jc w:val="center"/>
              <w:rPr>
                <w:rFonts w:ascii="宋体" w:hAnsi="宋体" w:eastAsia="等线"/>
                <w:szCs w:val="22"/>
              </w:rPr>
            </w:pPr>
            <w:r>
              <w:rPr>
                <w:rFonts w:ascii="宋体" w:hAnsi="宋体" w:eastAsia="等线"/>
                <w:szCs w:val="22"/>
              </w:rPr>
              <w:t>白火</w:t>
            </w:r>
            <w:r>
              <w:rPr>
                <w:rFonts w:hint="eastAsia" w:ascii="宋体" w:hAnsi="宋体" w:eastAsia="等线"/>
                <w:szCs w:val="22"/>
              </w:rPr>
              <w:t>石沟（锅炉房南侧）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shd w:val="clear" w:color="auto" w:fill="auto"/>
          </w:tcPr>
          <w:p>
            <w:pPr>
              <w:ind w:firstLine="480"/>
              <w:rPr>
                <w:rFonts w:ascii="等线" w:hAnsi="等线" w:eastAsia="等线"/>
                <w:szCs w:val="22"/>
              </w:rPr>
            </w:pPr>
            <w:r>
              <w:rPr>
                <w:rFonts w:ascii="等线" w:hAnsi="等线" w:eastAsia="等线"/>
                <w:szCs w:val="22"/>
              </w:rPr>
              <w:drawing>
                <wp:inline distT="0" distB="0" distL="0" distR="0">
                  <wp:extent cx="2404745" cy="1802130"/>
                  <wp:effectExtent l="0" t="0" r="0"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04745" cy="1802130"/>
                          </a:xfrm>
                          <a:prstGeom prst="rect">
                            <a:avLst/>
                          </a:prstGeom>
                          <a:noFill/>
                          <a:ln>
                            <a:noFill/>
                          </a:ln>
                        </pic:spPr>
                      </pic:pic>
                    </a:graphicData>
                  </a:graphic>
                </wp:inline>
              </w:drawing>
            </w:r>
          </w:p>
        </w:tc>
        <w:tc>
          <w:tcPr>
            <w:tcW w:w="4536" w:type="dxa"/>
            <w:shd w:val="clear" w:color="auto" w:fill="auto"/>
          </w:tcPr>
          <w:p>
            <w:pPr>
              <w:ind w:firstLine="480"/>
              <w:rPr>
                <w:rFonts w:ascii="等线" w:hAnsi="等线" w:eastAsia="等线"/>
                <w:szCs w:val="22"/>
              </w:rPr>
            </w:pPr>
            <w:r>
              <w:drawing>
                <wp:inline distT="0" distB="0" distL="0" distR="0">
                  <wp:extent cx="2399665" cy="17995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shd w:val="clear" w:color="auto" w:fill="auto"/>
          </w:tcPr>
          <w:p>
            <w:pPr>
              <w:ind w:firstLine="480"/>
              <w:jc w:val="center"/>
              <w:rPr>
                <w:rFonts w:ascii="宋体" w:hAnsi="宋体" w:eastAsia="等线"/>
                <w:szCs w:val="22"/>
              </w:rPr>
            </w:pPr>
            <w:r>
              <w:rPr>
                <w:rFonts w:hint="eastAsia" w:ascii="宋体" w:hAnsi="宋体" w:eastAsia="等线"/>
                <w:szCs w:val="22"/>
              </w:rPr>
              <w:t>进厂道路</w:t>
            </w:r>
          </w:p>
        </w:tc>
        <w:tc>
          <w:tcPr>
            <w:tcW w:w="4536" w:type="dxa"/>
            <w:shd w:val="clear" w:color="auto" w:fill="auto"/>
          </w:tcPr>
          <w:p>
            <w:pPr>
              <w:ind w:firstLine="480"/>
              <w:jc w:val="center"/>
              <w:rPr>
                <w:rFonts w:ascii="宋体" w:hAnsi="宋体" w:eastAsia="等线"/>
                <w:szCs w:val="22"/>
              </w:rPr>
            </w:pPr>
            <w:r>
              <w:rPr>
                <w:rFonts w:hint="eastAsia" w:ascii="宋体" w:hAnsi="宋体" w:eastAsia="等线"/>
                <w:szCs w:val="22"/>
              </w:rPr>
              <w:t>燃气锅炉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shd w:val="clear" w:color="auto" w:fill="auto"/>
          </w:tcPr>
          <w:p>
            <w:pPr>
              <w:ind w:firstLine="480"/>
              <w:rPr>
                <w:rFonts w:ascii="等线" w:hAnsi="等线" w:eastAsia="等线"/>
                <w:szCs w:val="22"/>
              </w:rPr>
            </w:pPr>
            <w:r>
              <w:rPr>
                <w:rFonts w:ascii="等线" w:hAnsi="等线" w:eastAsia="等线"/>
                <w:szCs w:val="22"/>
              </w:rPr>
              <w:drawing>
                <wp:inline distT="0" distB="0" distL="0" distR="0">
                  <wp:extent cx="2399665" cy="180213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99665" cy="1802130"/>
                          </a:xfrm>
                          <a:prstGeom prst="rect">
                            <a:avLst/>
                          </a:prstGeom>
                          <a:noFill/>
                          <a:ln>
                            <a:noFill/>
                          </a:ln>
                        </pic:spPr>
                      </pic:pic>
                    </a:graphicData>
                  </a:graphic>
                </wp:inline>
              </w:drawing>
            </w:r>
          </w:p>
        </w:tc>
        <w:tc>
          <w:tcPr>
            <w:tcW w:w="4536" w:type="dxa"/>
            <w:shd w:val="clear" w:color="auto" w:fill="auto"/>
          </w:tcPr>
          <w:p>
            <w:pPr>
              <w:ind w:firstLine="480"/>
              <w:rPr>
                <w:rFonts w:ascii="等线" w:hAnsi="等线" w:eastAsia="等线"/>
                <w:szCs w:val="22"/>
              </w:rPr>
            </w:pPr>
            <w:r>
              <w:rPr>
                <w:rFonts w:ascii="等线" w:hAnsi="等线" w:eastAsia="等线"/>
                <w:szCs w:val="22"/>
              </w:rPr>
              <w:drawing>
                <wp:inline distT="0" distB="0" distL="0" distR="0">
                  <wp:extent cx="2388870" cy="1802130"/>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88870" cy="18021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shd w:val="clear" w:color="auto" w:fill="auto"/>
          </w:tcPr>
          <w:p>
            <w:pPr>
              <w:ind w:firstLine="480"/>
              <w:jc w:val="center"/>
              <w:rPr>
                <w:rFonts w:ascii="宋体" w:hAnsi="宋体" w:eastAsia="等线"/>
                <w:szCs w:val="22"/>
              </w:rPr>
            </w:pPr>
            <w:r>
              <w:rPr>
                <w:rFonts w:hint="eastAsia" w:ascii="宋体" w:hAnsi="宋体" w:eastAsia="等线"/>
                <w:szCs w:val="22"/>
              </w:rPr>
              <w:t>进厂大门</w:t>
            </w:r>
          </w:p>
        </w:tc>
        <w:tc>
          <w:tcPr>
            <w:tcW w:w="4536" w:type="dxa"/>
            <w:shd w:val="clear" w:color="auto" w:fill="auto"/>
          </w:tcPr>
          <w:p>
            <w:pPr>
              <w:ind w:firstLine="480"/>
              <w:jc w:val="center"/>
              <w:rPr>
                <w:rFonts w:ascii="宋体" w:hAnsi="宋体" w:eastAsia="等线"/>
                <w:szCs w:val="22"/>
              </w:rPr>
            </w:pPr>
            <w:r>
              <w:rPr>
                <w:rFonts w:hint="eastAsia" w:ascii="宋体" w:hAnsi="宋体" w:eastAsia="等线"/>
                <w:szCs w:val="22"/>
              </w:rPr>
              <w:t>马房子村住户（锅炉房北侧）</w:t>
            </w:r>
          </w:p>
        </w:tc>
      </w:tr>
    </w:tbl>
    <w:p>
      <w:pPr>
        <w:pStyle w:val="2"/>
        <w:jc w:val="center"/>
        <w:rPr>
          <w:rFonts w:ascii="宋体" w:hAnsi="宋体"/>
          <w:b/>
          <w:sz w:val="28"/>
          <w:szCs w:val="28"/>
          <w:lang w:val="zh-CN"/>
        </w:rPr>
      </w:pPr>
      <w:r>
        <w:br w:type="page"/>
      </w:r>
      <w:r>
        <w:rPr>
          <w:rFonts w:ascii="宋体" w:hAnsi="宋体"/>
          <w:b/>
          <w:sz w:val="28"/>
          <w:szCs w:val="28"/>
          <w:lang w:val="zh-CN"/>
        </w:rPr>
        <w:t>目录</w:t>
      </w:r>
    </w:p>
    <w:p>
      <w:pPr>
        <w:rPr>
          <w:lang w:val="zh-CN"/>
        </w:rPr>
      </w:pPr>
    </w:p>
    <w:p>
      <w:pPr>
        <w:pStyle w:val="17"/>
        <w:tabs>
          <w:tab w:val="right" w:leader="dot" w:pos="9060"/>
        </w:tabs>
        <w:spacing w:line="360" w:lineRule="auto"/>
        <w:rPr>
          <w:sz w:val="24"/>
        </w:rPr>
      </w:pPr>
      <w:r>
        <w:fldChar w:fldCharType="begin"/>
      </w:r>
      <w:r>
        <w:instrText xml:space="preserve"> TOC \o "1-3" \h \z \u </w:instrText>
      </w:r>
      <w:r>
        <w:fldChar w:fldCharType="separate"/>
      </w:r>
      <w:r>
        <w:fldChar w:fldCharType="begin"/>
      </w:r>
      <w:r>
        <w:instrText xml:space="preserve"> HYPERLINK \l "_Toc5113207" </w:instrText>
      </w:r>
      <w:r>
        <w:fldChar w:fldCharType="separate"/>
      </w:r>
      <w:r>
        <w:rPr>
          <w:rStyle w:val="31"/>
          <w:color w:val="auto"/>
          <w:sz w:val="24"/>
        </w:rPr>
        <w:t>建设项目基本情况</w:t>
      </w:r>
      <w:r>
        <w:rPr>
          <w:sz w:val="24"/>
        </w:rPr>
        <w:tab/>
      </w:r>
      <w:r>
        <w:rPr>
          <w:sz w:val="24"/>
        </w:rPr>
        <w:fldChar w:fldCharType="begin"/>
      </w:r>
      <w:r>
        <w:rPr>
          <w:sz w:val="24"/>
        </w:rPr>
        <w:instrText xml:space="preserve"> PAGEREF _Toc5113207 \h </w:instrText>
      </w:r>
      <w:r>
        <w:rPr>
          <w:sz w:val="24"/>
        </w:rPr>
        <w:fldChar w:fldCharType="separate"/>
      </w:r>
      <w:r>
        <w:rPr>
          <w:sz w:val="24"/>
        </w:rPr>
        <w:t>3</w:t>
      </w:r>
      <w:r>
        <w:rPr>
          <w:sz w:val="24"/>
        </w:rPr>
        <w:fldChar w:fldCharType="end"/>
      </w:r>
      <w:r>
        <w:rPr>
          <w:sz w:val="24"/>
        </w:rPr>
        <w:fldChar w:fldCharType="end"/>
      </w:r>
    </w:p>
    <w:p>
      <w:pPr>
        <w:pStyle w:val="17"/>
        <w:tabs>
          <w:tab w:val="right" w:leader="dot" w:pos="9060"/>
        </w:tabs>
        <w:spacing w:line="360" w:lineRule="auto"/>
        <w:rPr>
          <w:sz w:val="24"/>
        </w:rPr>
      </w:pPr>
      <w:r>
        <w:fldChar w:fldCharType="begin"/>
      </w:r>
      <w:r>
        <w:instrText xml:space="preserve"> HYPERLINK \l "_Toc5113208" </w:instrText>
      </w:r>
      <w:r>
        <w:fldChar w:fldCharType="separate"/>
      </w:r>
      <w:r>
        <w:rPr>
          <w:rStyle w:val="31"/>
          <w:color w:val="auto"/>
          <w:sz w:val="24"/>
        </w:rPr>
        <w:t>建设项目所在地的自然环境</w:t>
      </w:r>
      <w:r>
        <w:rPr>
          <w:sz w:val="24"/>
        </w:rPr>
        <w:tab/>
      </w:r>
      <w:r>
        <w:rPr>
          <w:sz w:val="24"/>
        </w:rPr>
        <w:fldChar w:fldCharType="begin"/>
      </w:r>
      <w:r>
        <w:rPr>
          <w:sz w:val="24"/>
        </w:rPr>
        <w:instrText xml:space="preserve"> PAGEREF _Toc5113208 \h </w:instrText>
      </w:r>
      <w:r>
        <w:rPr>
          <w:sz w:val="24"/>
        </w:rPr>
        <w:fldChar w:fldCharType="separate"/>
      </w:r>
      <w:r>
        <w:rPr>
          <w:sz w:val="24"/>
        </w:rPr>
        <w:t>11</w:t>
      </w:r>
      <w:r>
        <w:rPr>
          <w:sz w:val="24"/>
        </w:rPr>
        <w:fldChar w:fldCharType="end"/>
      </w:r>
      <w:r>
        <w:rPr>
          <w:sz w:val="24"/>
        </w:rPr>
        <w:fldChar w:fldCharType="end"/>
      </w:r>
    </w:p>
    <w:p>
      <w:pPr>
        <w:pStyle w:val="17"/>
        <w:tabs>
          <w:tab w:val="right" w:leader="dot" w:pos="9060"/>
        </w:tabs>
        <w:spacing w:line="360" w:lineRule="auto"/>
        <w:rPr>
          <w:sz w:val="24"/>
        </w:rPr>
      </w:pPr>
      <w:r>
        <w:fldChar w:fldCharType="begin"/>
      </w:r>
      <w:r>
        <w:instrText xml:space="preserve"> HYPERLINK \l "_Toc5113209" </w:instrText>
      </w:r>
      <w:r>
        <w:fldChar w:fldCharType="separate"/>
      </w:r>
      <w:r>
        <w:rPr>
          <w:rStyle w:val="31"/>
          <w:color w:val="auto"/>
          <w:sz w:val="24"/>
        </w:rPr>
        <w:t>环境质量状况</w:t>
      </w:r>
      <w:r>
        <w:rPr>
          <w:sz w:val="24"/>
        </w:rPr>
        <w:tab/>
      </w:r>
      <w:r>
        <w:rPr>
          <w:sz w:val="24"/>
        </w:rPr>
        <w:fldChar w:fldCharType="begin"/>
      </w:r>
      <w:r>
        <w:rPr>
          <w:sz w:val="24"/>
        </w:rPr>
        <w:instrText xml:space="preserve"> PAGEREF _Toc5113209 \h </w:instrText>
      </w:r>
      <w:r>
        <w:rPr>
          <w:sz w:val="24"/>
        </w:rPr>
        <w:fldChar w:fldCharType="separate"/>
      </w:r>
      <w:r>
        <w:rPr>
          <w:sz w:val="24"/>
        </w:rPr>
        <w:t>13</w:t>
      </w:r>
      <w:r>
        <w:rPr>
          <w:sz w:val="24"/>
        </w:rPr>
        <w:fldChar w:fldCharType="end"/>
      </w:r>
      <w:r>
        <w:rPr>
          <w:sz w:val="24"/>
        </w:rPr>
        <w:fldChar w:fldCharType="end"/>
      </w:r>
    </w:p>
    <w:p>
      <w:pPr>
        <w:pStyle w:val="17"/>
        <w:tabs>
          <w:tab w:val="right" w:leader="dot" w:pos="9060"/>
        </w:tabs>
        <w:spacing w:line="360" w:lineRule="auto"/>
        <w:rPr>
          <w:sz w:val="24"/>
        </w:rPr>
      </w:pPr>
      <w:r>
        <w:fldChar w:fldCharType="begin"/>
      </w:r>
      <w:r>
        <w:instrText xml:space="preserve"> HYPERLINK \l "_Toc5113210" </w:instrText>
      </w:r>
      <w:r>
        <w:fldChar w:fldCharType="separate"/>
      </w:r>
      <w:r>
        <w:rPr>
          <w:rStyle w:val="31"/>
          <w:color w:val="auto"/>
          <w:sz w:val="24"/>
        </w:rPr>
        <w:t>评价适用标准</w:t>
      </w:r>
      <w:r>
        <w:rPr>
          <w:sz w:val="24"/>
        </w:rPr>
        <w:tab/>
      </w:r>
      <w:r>
        <w:rPr>
          <w:sz w:val="24"/>
        </w:rPr>
        <w:fldChar w:fldCharType="begin"/>
      </w:r>
      <w:r>
        <w:rPr>
          <w:sz w:val="24"/>
        </w:rPr>
        <w:instrText xml:space="preserve"> PAGEREF _Toc5113210 \h </w:instrText>
      </w:r>
      <w:r>
        <w:rPr>
          <w:sz w:val="24"/>
        </w:rPr>
        <w:fldChar w:fldCharType="separate"/>
      </w:r>
      <w:r>
        <w:rPr>
          <w:sz w:val="24"/>
        </w:rPr>
        <w:t>15</w:t>
      </w:r>
      <w:r>
        <w:rPr>
          <w:sz w:val="24"/>
        </w:rPr>
        <w:fldChar w:fldCharType="end"/>
      </w:r>
      <w:r>
        <w:rPr>
          <w:sz w:val="24"/>
        </w:rPr>
        <w:fldChar w:fldCharType="end"/>
      </w:r>
    </w:p>
    <w:p>
      <w:pPr>
        <w:pStyle w:val="17"/>
        <w:tabs>
          <w:tab w:val="right" w:leader="dot" w:pos="9060"/>
        </w:tabs>
        <w:spacing w:line="360" w:lineRule="auto"/>
        <w:rPr>
          <w:sz w:val="24"/>
        </w:rPr>
      </w:pPr>
      <w:r>
        <w:fldChar w:fldCharType="begin"/>
      </w:r>
      <w:r>
        <w:instrText xml:space="preserve"> HYPERLINK \l "_Toc5113211" </w:instrText>
      </w:r>
      <w:r>
        <w:fldChar w:fldCharType="separate"/>
      </w:r>
      <w:r>
        <w:rPr>
          <w:rStyle w:val="31"/>
          <w:color w:val="auto"/>
          <w:sz w:val="24"/>
        </w:rPr>
        <w:t>建设项目工程分析</w:t>
      </w:r>
      <w:r>
        <w:rPr>
          <w:sz w:val="24"/>
        </w:rPr>
        <w:tab/>
      </w:r>
      <w:r>
        <w:rPr>
          <w:sz w:val="24"/>
        </w:rPr>
        <w:fldChar w:fldCharType="begin"/>
      </w:r>
      <w:r>
        <w:rPr>
          <w:sz w:val="24"/>
        </w:rPr>
        <w:instrText xml:space="preserve"> PAGEREF _Toc5113211 \h </w:instrText>
      </w:r>
      <w:r>
        <w:rPr>
          <w:sz w:val="24"/>
        </w:rPr>
        <w:fldChar w:fldCharType="separate"/>
      </w:r>
      <w:r>
        <w:rPr>
          <w:sz w:val="24"/>
        </w:rPr>
        <w:t>17</w:t>
      </w:r>
      <w:r>
        <w:rPr>
          <w:sz w:val="24"/>
        </w:rPr>
        <w:fldChar w:fldCharType="end"/>
      </w:r>
      <w:r>
        <w:rPr>
          <w:sz w:val="24"/>
        </w:rPr>
        <w:fldChar w:fldCharType="end"/>
      </w:r>
    </w:p>
    <w:p>
      <w:pPr>
        <w:pStyle w:val="17"/>
        <w:tabs>
          <w:tab w:val="right" w:leader="dot" w:pos="9060"/>
        </w:tabs>
        <w:spacing w:line="360" w:lineRule="auto"/>
        <w:rPr>
          <w:sz w:val="24"/>
        </w:rPr>
      </w:pPr>
      <w:r>
        <w:fldChar w:fldCharType="begin"/>
      </w:r>
      <w:r>
        <w:instrText xml:space="preserve"> HYPERLINK \l "_Toc5113212" </w:instrText>
      </w:r>
      <w:r>
        <w:fldChar w:fldCharType="separate"/>
      </w:r>
      <w:r>
        <w:rPr>
          <w:rStyle w:val="31"/>
          <w:color w:val="auto"/>
          <w:sz w:val="24"/>
        </w:rPr>
        <w:t>项目主要污染物产生及预计排放量情况</w:t>
      </w:r>
      <w:r>
        <w:rPr>
          <w:sz w:val="24"/>
        </w:rPr>
        <w:tab/>
      </w:r>
      <w:r>
        <w:rPr>
          <w:sz w:val="24"/>
        </w:rPr>
        <w:fldChar w:fldCharType="begin"/>
      </w:r>
      <w:r>
        <w:rPr>
          <w:sz w:val="24"/>
        </w:rPr>
        <w:instrText xml:space="preserve"> PAGEREF _Toc5113212 \h </w:instrText>
      </w:r>
      <w:r>
        <w:rPr>
          <w:sz w:val="24"/>
        </w:rPr>
        <w:fldChar w:fldCharType="separate"/>
      </w:r>
      <w:r>
        <w:rPr>
          <w:sz w:val="24"/>
        </w:rPr>
        <w:t>22</w:t>
      </w:r>
      <w:r>
        <w:rPr>
          <w:sz w:val="24"/>
        </w:rPr>
        <w:fldChar w:fldCharType="end"/>
      </w:r>
      <w:r>
        <w:rPr>
          <w:sz w:val="24"/>
        </w:rPr>
        <w:fldChar w:fldCharType="end"/>
      </w:r>
    </w:p>
    <w:p>
      <w:pPr>
        <w:pStyle w:val="17"/>
        <w:tabs>
          <w:tab w:val="right" w:leader="dot" w:pos="9060"/>
        </w:tabs>
        <w:spacing w:line="360" w:lineRule="auto"/>
        <w:rPr>
          <w:sz w:val="24"/>
        </w:rPr>
      </w:pPr>
      <w:r>
        <w:fldChar w:fldCharType="begin"/>
      </w:r>
      <w:r>
        <w:instrText xml:space="preserve"> HYPERLINK \l "_Toc5113213" </w:instrText>
      </w:r>
      <w:r>
        <w:fldChar w:fldCharType="separate"/>
      </w:r>
      <w:r>
        <w:rPr>
          <w:rStyle w:val="31"/>
          <w:color w:val="auto"/>
          <w:sz w:val="24"/>
        </w:rPr>
        <w:t>环境影响分析</w:t>
      </w:r>
      <w:r>
        <w:rPr>
          <w:sz w:val="24"/>
        </w:rPr>
        <w:tab/>
      </w:r>
      <w:r>
        <w:rPr>
          <w:sz w:val="24"/>
        </w:rPr>
        <w:fldChar w:fldCharType="begin"/>
      </w:r>
      <w:r>
        <w:rPr>
          <w:sz w:val="24"/>
        </w:rPr>
        <w:instrText xml:space="preserve"> PAGEREF _Toc5113213 \h </w:instrText>
      </w:r>
      <w:r>
        <w:rPr>
          <w:sz w:val="24"/>
        </w:rPr>
        <w:fldChar w:fldCharType="separate"/>
      </w:r>
      <w:r>
        <w:rPr>
          <w:sz w:val="24"/>
        </w:rPr>
        <w:t>23</w:t>
      </w:r>
      <w:r>
        <w:rPr>
          <w:sz w:val="24"/>
        </w:rPr>
        <w:fldChar w:fldCharType="end"/>
      </w:r>
      <w:r>
        <w:rPr>
          <w:sz w:val="24"/>
        </w:rPr>
        <w:fldChar w:fldCharType="end"/>
      </w:r>
    </w:p>
    <w:p>
      <w:pPr>
        <w:pStyle w:val="17"/>
        <w:tabs>
          <w:tab w:val="right" w:leader="dot" w:pos="9060"/>
        </w:tabs>
        <w:spacing w:line="360" w:lineRule="auto"/>
        <w:rPr>
          <w:sz w:val="24"/>
        </w:rPr>
      </w:pPr>
      <w:r>
        <w:fldChar w:fldCharType="begin"/>
      </w:r>
      <w:r>
        <w:instrText xml:space="preserve"> HYPERLINK \l "_Toc5113214" </w:instrText>
      </w:r>
      <w:r>
        <w:fldChar w:fldCharType="separate"/>
      </w:r>
      <w:r>
        <w:rPr>
          <w:rStyle w:val="31"/>
          <w:color w:val="auto"/>
          <w:sz w:val="24"/>
        </w:rPr>
        <w:t>建设项目拟采取的防治措施及预期治理效果</w:t>
      </w:r>
      <w:r>
        <w:rPr>
          <w:sz w:val="24"/>
        </w:rPr>
        <w:tab/>
      </w:r>
      <w:r>
        <w:rPr>
          <w:sz w:val="24"/>
        </w:rPr>
        <w:fldChar w:fldCharType="begin"/>
      </w:r>
      <w:r>
        <w:rPr>
          <w:sz w:val="24"/>
        </w:rPr>
        <w:instrText xml:space="preserve"> PAGEREF _Toc5113214 \h </w:instrText>
      </w:r>
      <w:r>
        <w:rPr>
          <w:sz w:val="24"/>
        </w:rPr>
        <w:fldChar w:fldCharType="separate"/>
      </w:r>
      <w:r>
        <w:rPr>
          <w:sz w:val="24"/>
        </w:rPr>
        <w:t>32</w:t>
      </w:r>
      <w:r>
        <w:rPr>
          <w:sz w:val="24"/>
        </w:rPr>
        <w:fldChar w:fldCharType="end"/>
      </w:r>
      <w:r>
        <w:rPr>
          <w:sz w:val="24"/>
        </w:rPr>
        <w:fldChar w:fldCharType="end"/>
      </w:r>
    </w:p>
    <w:p>
      <w:pPr>
        <w:pStyle w:val="17"/>
        <w:tabs>
          <w:tab w:val="right" w:leader="dot" w:pos="9060"/>
        </w:tabs>
        <w:spacing w:line="360" w:lineRule="auto"/>
        <w:rPr>
          <w:sz w:val="24"/>
        </w:rPr>
      </w:pPr>
      <w:r>
        <w:fldChar w:fldCharType="begin"/>
      </w:r>
      <w:r>
        <w:instrText xml:space="preserve"> HYPERLINK \l "_Toc5113215" </w:instrText>
      </w:r>
      <w:r>
        <w:fldChar w:fldCharType="separate"/>
      </w:r>
      <w:r>
        <w:rPr>
          <w:rStyle w:val="31"/>
          <w:color w:val="auto"/>
          <w:sz w:val="24"/>
        </w:rPr>
        <w:t>结论与建议</w:t>
      </w:r>
      <w:r>
        <w:rPr>
          <w:sz w:val="24"/>
        </w:rPr>
        <w:tab/>
      </w:r>
      <w:r>
        <w:rPr>
          <w:sz w:val="24"/>
        </w:rPr>
        <w:fldChar w:fldCharType="begin"/>
      </w:r>
      <w:r>
        <w:rPr>
          <w:sz w:val="24"/>
        </w:rPr>
        <w:instrText xml:space="preserve"> PAGEREF _Toc5113215 \h </w:instrText>
      </w:r>
      <w:r>
        <w:rPr>
          <w:sz w:val="24"/>
        </w:rPr>
        <w:fldChar w:fldCharType="separate"/>
      </w:r>
      <w:r>
        <w:rPr>
          <w:sz w:val="24"/>
        </w:rPr>
        <w:t>33</w:t>
      </w:r>
      <w:r>
        <w:rPr>
          <w:sz w:val="24"/>
        </w:rPr>
        <w:fldChar w:fldCharType="end"/>
      </w:r>
      <w:r>
        <w:rPr>
          <w:sz w:val="24"/>
        </w:rPr>
        <w:fldChar w:fldCharType="end"/>
      </w:r>
    </w:p>
    <w:p>
      <w:r>
        <w:rPr>
          <w:b/>
          <w:bCs/>
          <w:lang w:val="zh-CN"/>
        </w:rPr>
        <w:fldChar w:fldCharType="end"/>
      </w:r>
    </w:p>
    <w:p>
      <w:pPr>
        <w:rPr>
          <w:sz w:val="24"/>
          <w:lang w:val="zh-CN"/>
        </w:rPr>
      </w:pPr>
      <w:bookmarkStart w:id="0" w:name="_Toc19679"/>
    </w:p>
    <w:p>
      <w:pPr>
        <w:rPr>
          <w:sz w:val="24"/>
          <w:lang w:val="zh-CN"/>
        </w:rPr>
      </w:pPr>
    </w:p>
    <w:p>
      <w:pPr>
        <w:rPr>
          <w:sz w:val="24"/>
          <w:lang w:val="zh-CN"/>
        </w:rPr>
      </w:pPr>
    </w:p>
    <w:p>
      <w:pPr>
        <w:rPr>
          <w:sz w:val="24"/>
          <w:lang w:val="zh-CN"/>
        </w:rPr>
      </w:pPr>
    </w:p>
    <w:p>
      <w:pPr>
        <w:rPr>
          <w:sz w:val="24"/>
          <w:lang w:val="zh-CN"/>
        </w:rPr>
      </w:pPr>
    </w:p>
    <w:p>
      <w:pPr>
        <w:rPr>
          <w:sz w:val="24"/>
          <w:lang w:val="zh-CN"/>
        </w:rPr>
      </w:pPr>
    </w:p>
    <w:p>
      <w:pPr>
        <w:rPr>
          <w:sz w:val="24"/>
          <w:lang w:val="zh-CN"/>
        </w:rPr>
      </w:pPr>
    </w:p>
    <w:p>
      <w:pPr>
        <w:rPr>
          <w:sz w:val="24"/>
          <w:lang w:val="zh-CN"/>
        </w:rPr>
      </w:pPr>
      <w:r>
        <w:rPr>
          <w:rFonts w:hint="eastAsia"/>
          <w:b/>
          <w:bCs/>
          <w:sz w:val="24"/>
          <w:lang w:val="zh-CN"/>
        </w:rPr>
        <w:t>附图列表：</w:t>
      </w:r>
    </w:p>
    <w:p>
      <w:pPr>
        <w:rPr>
          <w:bCs/>
          <w:szCs w:val="21"/>
        </w:rPr>
      </w:pPr>
      <w:r>
        <w:rPr>
          <w:bCs/>
          <w:szCs w:val="21"/>
        </w:rPr>
        <w:t xml:space="preserve">附图1  </w:t>
      </w:r>
      <w:r>
        <w:rPr>
          <w:rFonts w:hint="eastAsia"/>
          <w:bCs/>
          <w:szCs w:val="21"/>
        </w:rPr>
        <w:t>本项目地理位置图</w:t>
      </w:r>
    </w:p>
    <w:p>
      <w:pPr>
        <w:rPr>
          <w:bCs/>
          <w:szCs w:val="21"/>
        </w:rPr>
      </w:pPr>
      <w:r>
        <w:rPr>
          <w:bCs/>
          <w:szCs w:val="21"/>
        </w:rPr>
        <w:t>附图</w:t>
      </w:r>
      <w:r>
        <w:rPr>
          <w:rFonts w:hint="eastAsia"/>
          <w:bCs/>
          <w:szCs w:val="21"/>
        </w:rPr>
        <w:t>2</w:t>
      </w:r>
      <w:r>
        <w:rPr>
          <w:bCs/>
          <w:szCs w:val="21"/>
        </w:rPr>
        <w:t xml:space="preserve">  </w:t>
      </w:r>
      <w:r>
        <w:rPr>
          <w:rFonts w:hint="eastAsia"/>
          <w:bCs/>
          <w:szCs w:val="21"/>
        </w:rPr>
        <w:t>本项目四邻关系图</w:t>
      </w:r>
    </w:p>
    <w:p>
      <w:r>
        <w:rPr>
          <w:bCs/>
          <w:szCs w:val="21"/>
          <w:lang w:val="zh-CN"/>
        </w:rPr>
        <w:t>附图</w:t>
      </w:r>
      <w:r>
        <w:rPr>
          <w:rFonts w:hint="eastAsia"/>
          <w:bCs/>
          <w:szCs w:val="21"/>
        </w:rPr>
        <w:t>3</w:t>
      </w:r>
      <w:r>
        <w:rPr>
          <w:rStyle w:val="28"/>
          <w:b w:val="0"/>
          <w:szCs w:val="21"/>
        </w:rPr>
        <w:t xml:space="preserve">  </w:t>
      </w:r>
      <w:r>
        <w:rPr>
          <w:rFonts w:hint="eastAsia"/>
        </w:rPr>
        <w:t>本项目厂区总平面布置示意图</w:t>
      </w:r>
    </w:p>
    <w:p>
      <w:r>
        <w:rPr>
          <w:bCs/>
          <w:szCs w:val="21"/>
        </w:rPr>
        <w:t>附图</w:t>
      </w:r>
      <w:r>
        <w:rPr>
          <w:rFonts w:hint="eastAsia"/>
          <w:bCs/>
          <w:szCs w:val="21"/>
        </w:rPr>
        <w:t>4</w:t>
      </w:r>
      <w:r>
        <w:rPr>
          <w:bCs/>
          <w:szCs w:val="21"/>
        </w:rPr>
        <w:t xml:space="preserve">  </w:t>
      </w:r>
      <w:r>
        <w:rPr>
          <w:rFonts w:hint="eastAsia"/>
          <w:bCs/>
          <w:szCs w:val="21"/>
        </w:rPr>
        <w:t>本项目现状监测布点图</w:t>
      </w:r>
    </w:p>
    <w:p>
      <w:pPr>
        <w:pStyle w:val="2"/>
      </w:pPr>
    </w:p>
    <w:p>
      <w:pPr>
        <w:rPr>
          <w:sz w:val="24"/>
        </w:rPr>
      </w:pPr>
      <w:r>
        <w:rPr>
          <w:rFonts w:hint="eastAsia"/>
          <w:b/>
          <w:bCs/>
          <w:sz w:val="24"/>
          <w:lang w:val="zh-CN"/>
        </w:rPr>
        <w:t>附件列表：</w:t>
      </w:r>
    </w:p>
    <w:p>
      <w:pPr>
        <w:rPr>
          <w:szCs w:val="21"/>
          <w:lang w:val="zh-CN"/>
        </w:rPr>
      </w:pPr>
      <w:r>
        <w:rPr>
          <w:szCs w:val="21"/>
          <w:lang w:val="zh-CN"/>
        </w:rPr>
        <w:t>附件</w:t>
      </w:r>
      <w:r>
        <w:rPr>
          <w:rFonts w:hint="eastAsia"/>
          <w:szCs w:val="21"/>
        </w:rPr>
        <w:t>1 项目</w:t>
      </w:r>
      <w:r>
        <w:rPr>
          <w:szCs w:val="21"/>
          <w:lang w:val="zh-CN"/>
        </w:rPr>
        <w:t>委托书</w:t>
      </w:r>
      <w:r>
        <w:rPr>
          <w:rFonts w:hint="eastAsia"/>
          <w:szCs w:val="21"/>
          <w:lang w:val="zh-CN"/>
        </w:rPr>
        <w:t>；</w:t>
      </w:r>
    </w:p>
    <w:p>
      <w:pPr>
        <w:rPr>
          <w:szCs w:val="21"/>
        </w:rPr>
      </w:pPr>
      <w:r>
        <w:rPr>
          <w:szCs w:val="21"/>
          <w:lang w:val="zh-CN"/>
        </w:rPr>
        <w:t>附件</w:t>
      </w:r>
      <w:r>
        <w:rPr>
          <w:rFonts w:hint="eastAsia"/>
          <w:szCs w:val="21"/>
        </w:rPr>
        <w:t>2</w:t>
      </w:r>
      <w:r>
        <w:rPr>
          <w:szCs w:val="21"/>
        </w:rPr>
        <w:t xml:space="preserve"> </w:t>
      </w:r>
      <w:r>
        <w:rPr>
          <w:rFonts w:hint="eastAsia"/>
          <w:szCs w:val="21"/>
        </w:rPr>
        <w:t>项目备案确认书</w:t>
      </w:r>
    </w:p>
    <w:p>
      <w:pPr>
        <w:rPr>
          <w:szCs w:val="21"/>
        </w:rPr>
      </w:pPr>
      <w:r>
        <w:rPr>
          <w:szCs w:val="21"/>
        </w:rPr>
        <w:t>附件</w:t>
      </w:r>
      <w:r>
        <w:rPr>
          <w:rFonts w:hint="eastAsia"/>
          <w:szCs w:val="21"/>
        </w:rPr>
        <w:t>3</w:t>
      </w:r>
      <w:r>
        <w:rPr>
          <w:szCs w:val="21"/>
        </w:rPr>
        <w:t xml:space="preserve"> </w:t>
      </w:r>
      <w:r>
        <w:rPr>
          <w:rFonts w:hint="eastAsia"/>
          <w:szCs w:val="21"/>
        </w:rPr>
        <w:t>标准申请</w:t>
      </w:r>
    </w:p>
    <w:p>
      <w:pPr>
        <w:rPr>
          <w:szCs w:val="21"/>
        </w:rPr>
      </w:pPr>
      <w:r>
        <w:rPr>
          <w:szCs w:val="21"/>
        </w:rPr>
        <w:t>附件</w:t>
      </w:r>
      <w:r>
        <w:rPr>
          <w:rFonts w:hint="eastAsia"/>
          <w:szCs w:val="21"/>
        </w:rPr>
        <w:t>4</w:t>
      </w:r>
      <w:r>
        <w:rPr>
          <w:szCs w:val="21"/>
        </w:rPr>
        <w:t xml:space="preserve"> </w:t>
      </w:r>
      <w:r>
        <w:rPr>
          <w:rFonts w:hint="eastAsia"/>
          <w:szCs w:val="21"/>
        </w:rPr>
        <w:t>声环境质量现状监测报告</w:t>
      </w:r>
    </w:p>
    <w:p>
      <w:pPr>
        <w:pStyle w:val="2"/>
        <w:spacing w:line="240" w:lineRule="auto"/>
        <w:ind w:left="0" w:leftChars="0" w:firstLine="0" w:firstLineChars="0"/>
        <w:rPr>
          <w:sz w:val="21"/>
          <w:szCs w:val="21"/>
        </w:rPr>
      </w:pPr>
      <w:r>
        <w:rPr>
          <w:rFonts w:hint="eastAsia"/>
          <w:sz w:val="21"/>
          <w:szCs w:val="21"/>
        </w:rPr>
        <w:t>附件5</w:t>
      </w:r>
      <w:r>
        <w:rPr>
          <w:sz w:val="21"/>
          <w:szCs w:val="21"/>
        </w:rPr>
        <w:t xml:space="preserve"> </w:t>
      </w:r>
      <w:r>
        <w:rPr>
          <w:rFonts w:hint="eastAsia"/>
          <w:sz w:val="21"/>
          <w:szCs w:val="21"/>
        </w:rPr>
        <w:t>酒店名称说明</w:t>
      </w:r>
    </w:p>
    <w:p>
      <w:pPr>
        <w:pStyle w:val="2"/>
        <w:spacing w:line="240" w:lineRule="auto"/>
        <w:ind w:left="0" w:leftChars="0" w:firstLine="0" w:firstLineChars="0"/>
        <w:rPr>
          <w:sz w:val="21"/>
          <w:szCs w:val="21"/>
        </w:rPr>
      </w:pPr>
      <w:r>
        <w:rPr>
          <w:rFonts w:hint="eastAsia"/>
          <w:sz w:val="21"/>
          <w:szCs w:val="21"/>
        </w:rPr>
        <w:t>附件6 建设项目环评审批基础信息表</w:t>
      </w:r>
    </w:p>
    <w:p>
      <w:pPr>
        <w:pStyle w:val="2"/>
        <w:spacing w:line="240" w:lineRule="auto"/>
        <w:ind w:left="0" w:leftChars="0" w:firstLine="0" w:firstLineChars="0"/>
        <w:rPr>
          <w:sz w:val="21"/>
          <w:szCs w:val="21"/>
        </w:rPr>
      </w:pPr>
    </w:p>
    <w:p>
      <w:pPr>
        <w:pStyle w:val="2"/>
        <w:spacing w:line="240" w:lineRule="auto"/>
        <w:ind w:left="0" w:leftChars="0" w:firstLine="0" w:firstLineChars="0"/>
        <w:rPr>
          <w:sz w:val="21"/>
          <w:szCs w:val="21"/>
        </w:rPr>
      </w:pPr>
    </w:p>
    <w:p>
      <w:pPr>
        <w:pStyle w:val="2"/>
        <w:spacing w:line="240" w:lineRule="auto"/>
        <w:ind w:left="0" w:leftChars="0" w:firstLine="0" w:firstLineChars="0"/>
        <w:rPr>
          <w:sz w:val="21"/>
          <w:szCs w:val="21"/>
        </w:rPr>
      </w:pPr>
      <w:bookmarkStart w:id="1" w:name="_Toc5113207"/>
    </w:p>
    <w:p>
      <w:pPr>
        <w:pStyle w:val="2"/>
        <w:spacing w:line="240" w:lineRule="auto"/>
        <w:ind w:left="0" w:leftChars="0" w:firstLine="0" w:firstLineChars="0"/>
        <w:rPr>
          <w:sz w:val="21"/>
          <w:szCs w:val="21"/>
        </w:rPr>
      </w:pPr>
    </w:p>
    <w:p>
      <w:pPr>
        <w:pStyle w:val="3"/>
        <w:spacing w:before="0" w:after="0" w:line="240" w:lineRule="auto"/>
        <w:rPr>
          <w:rFonts w:ascii="Times New Roman"/>
          <w:sz w:val="28"/>
          <w:szCs w:val="28"/>
        </w:rPr>
      </w:pPr>
      <w:r>
        <w:rPr>
          <w:rFonts w:ascii="Times New Roman"/>
          <w:sz w:val="28"/>
          <w:szCs w:val="28"/>
        </w:rPr>
        <w:t>建设项目基本情况</w:t>
      </w:r>
      <w:bookmarkEnd w:id="0"/>
      <w:bookmarkEnd w:id="1"/>
    </w:p>
    <w:tbl>
      <w:tblPr>
        <w:tblStyle w:val="2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347"/>
        <w:gridCol w:w="612"/>
        <w:gridCol w:w="509"/>
        <w:gridCol w:w="351"/>
        <w:gridCol w:w="106"/>
        <w:gridCol w:w="69"/>
        <w:gridCol w:w="349"/>
        <w:gridCol w:w="1227"/>
        <w:gridCol w:w="125"/>
        <w:gridCol w:w="61"/>
        <w:gridCol w:w="701"/>
        <w:gridCol w:w="515"/>
        <w:gridCol w:w="349"/>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9" w:type="dxa"/>
            <w:vAlign w:val="center"/>
          </w:tcPr>
          <w:p>
            <w:pPr>
              <w:pStyle w:val="103"/>
              <w:spacing w:line="360" w:lineRule="auto"/>
            </w:pPr>
            <w:r>
              <w:rPr>
                <w:b/>
                <w:bCs/>
              </w:rPr>
              <w:t>项目名称</w:t>
            </w:r>
          </w:p>
        </w:tc>
        <w:tc>
          <w:tcPr>
            <w:tcW w:w="7547" w:type="dxa"/>
            <w:gridSpan w:val="14"/>
            <w:vAlign w:val="center"/>
          </w:tcPr>
          <w:p>
            <w:pPr>
              <w:jc w:val="center"/>
              <w:rPr>
                <w:sz w:val="24"/>
              </w:rPr>
            </w:pPr>
            <w:bookmarkStart w:id="2" w:name="_Hlk6157990"/>
            <w:r>
              <w:rPr>
                <w:rFonts w:hint="eastAsia" w:ascii="宋体" w:hAnsi="宋体"/>
                <w:bCs/>
                <w:sz w:val="24"/>
              </w:rPr>
              <w:t>陕西麓苑实业有限公司煤改气项目</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739" w:type="dxa"/>
            <w:vAlign w:val="center"/>
          </w:tcPr>
          <w:p>
            <w:pPr>
              <w:spacing w:line="360" w:lineRule="auto"/>
              <w:jc w:val="center"/>
              <w:rPr>
                <w:sz w:val="24"/>
              </w:rPr>
            </w:pPr>
            <w:r>
              <w:rPr>
                <w:b/>
                <w:bCs/>
                <w:sz w:val="24"/>
              </w:rPr>
              <w:t>建设单位</w:t>
            </w:r>
          </w:p>
        </w:tc>
        <w:tc>
          <w:tcPr>
            <w:tcW w:w="7547" w:type="dxa"/>
            <w:gridSpan w:val="14"/>
            <w:vAlign w:val="center"/>
          </w:tcPr>
          <w:p>
            <w:pPr>
              <w:spacing w:line="360" w:lineRule="auto"/>
              <w:jc w:val="center"/>
              <w:rPr>
                <w:sz w:val="24"/>
              </w:rPr>
            </w:pPr>
            <w:r>
              <w:rPr>
                <w:rFonts w:hint="eastAsia"/>
                <w:sz w:val="24"/>
              </w:rPr>
              <w:t>陕西麓苑实业有限公司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1739" w:type="dxa"/>
            <w:vAlign w:val="center"/>
          </w:tcPr>
          <w:p>
            <w:pPr>
              <w:spacing w:line="360" w:lineRule="auto"/>
              <w:jc w:val="center"/>
              <w:rPr>
                <w:sz w:val="24"/>
              </w:rPr>
            </w:pPr>
            <w:r>
              <w:rPr>
                <w:rFonts w:hint="eastAsia"/>
                <w:b/>
                <w:bCs/>
                <w:sz w:val="24"/>
              </w:rPr>
              <w:t>法人代表</w:t>
            </w:r>
          </w:p>
        </w:tc>
        <w:tc>
          <w:tcPr>
            <w:tcW w:w="2925" w:type="dxa"/>
            <w:gridSpan w:val="5"/>
            <w:vAlign w:val="center"/>
          </w:tcPr>
          <w:p>
            <w:pPr>
              <w:spacing w:line="360" w:lineRule="auto"/>
              <w:jc w:val="center"/>
              <w:rPr>
                <w:sz w:val="24"/>
              </w:rPr>
            </w:pPr>
            <w:r>
              <w:rPr>
                <w:rFonts w:hint="eastAsia"/>
                <w:sz w:val="24"/>
              </w:rPr>
              <w:t>白新建</w:t>
            </w:r>
          </w:p>
        </w:tc>
        <w:tc>
          <w:tcPr>
            <w:tcW w:w="1770" w:type="dxa"/>
            <w:gridSpan w:val="4"/>
            <w:vAlign w:val="center"/>
          </w:tcPr>
          <w:p>
            <w:pPr>
              <w:spacing w:line="360" w:lineRule="auto"/>
              <w:jc w:val="center"/>
              <w:rPr>
                <w:b/>
                <w:sz w:val="24"/>
              </w:rPr>
            </w:pPr>
            <w:r>
              <w:rPr>
                <w:rFonts w:hint="eastAsia"/>
                <w:b/>
                <w:sz w:val="24"/>
              </w:rPr>
              <w:t>联系人</w:t>
            </w:r>
          </w:p>
        </w:tc>
        <w:tc>
          <w:tcPr>
            <w:tcW w:w="2852" w:type="dxa"/>
            <w:gridSpan w:val="5"/>
            <w:vAlign w:val="center"/>
          </w:tcPr>
          <w:p>
            <w:pPr>
              <w:spacing w:line="360" w:lineRule="auto"/>
              <w:jc w:val="center"/>
              <w:rPr>
                <w:sz w:val="24"/>
              </w:rPr>
            </w:pPr>
            <w:r>
              <w:rPr>
                <w:rFonts w:hint="eastAsia"/>
                <w:sz w:val="24"/>
              </w:rPr>
              <w:t>曹刚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9" w:type="dxa"/>
            <w:vAlign w:val="center"/>
          </w:tcPr>
          <w:p>
            <w:pPr>
              <w:spacing w:line="360" w:lineRule="auto"/>
              <w:jc w:val="center"/>
              <w:rPr>
                <w:sz w:val="24"/>
              </w:rPr>
            </w:pPr>
            <w:r>
              <w:rPr>
                <w:b/>
                <w:bCs/>
                <w:sz w:val="24"/>
              </w:rPr>
              <w:t>通讯地址</w:t>
            </w:r>
          </w:p>
        </w:tc>
        <w:tc>
          <w:tcPr>
            <w:tcW w:w="7547" w:type="dxa"/>
            <w:gridSpan w:val="14"/>
            <w:vAlign w:val="center"/>
          </w:tcPr>
          <w:p>
            <w:pPr>
              <w:spacing w:line="360" w:lineRule="auto"/>
              <w:jc w:val="center"/>
              <w:rPr>
                <w:sz w:val="24"/>
              </w:rPr>
            </w:pPr>
            <w:r>
              <w:rPr>
                <w:rFonts w:hint="eastAsia"/>
                <w:sz w:val="24"/>
              </w:rPr>
              <w:t>陕西省商洛市柞水县乾佑镇石镇村四组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1739" w:type="dxa"/>
            <w:vAlign w:val="center"/>
          </w:tcPr>
          <w:p>
            <w:pPr>
              <w:spacing w:line="360" w:lineRule="auto"/>
              <w:jc w:val="center"/>
              <w:rPr>
                <w:sz w:val="24"/>
              </w:rPr>
            </w:pPr>
            <w:r>
              <w:rPr>
                <w:b/>
                <w:bCs/>
                <w:sz w:val="24"/>
              </w:rPr>
              <w:t>联系电话</w:t>
            </w:r>
          </w:p>
        </w:tc>
        <w:tc>
          <w:tcPr>
            <w:tcW w:w="1959" w:type="dxa"/>
            <w:gridSpan w:val="2"/>
            <w:vAlign w:val="center"/>
          </w:tcPr>
          <w:p>
            <w:pPr>
              <w:spacing w:line="360" w:lineRule="auto"/>
              <w:jc w:val="center"/>
              <w:rPr>
                <w:sz w:val="24"/>
              </w:rPr>
            </w:pPr>
            <w:r>
              <w:rPr>
                <w:sz w:val="24"/>
              </w:rPr>
              <w:t>0914-2088881</w:t>
            </w:r>
          </w:p>
        </w:tc>
        <w:tc>
          <w:tcPr>
            <w:tcW w:w="1035" w:type="dxa"/>
            <w:gridSpan w:val="4"/>
            <w:vAlign w:val="center"/>
          </w:tcPr>
          <w:p>
            <w:pPr>
              <w:spacing w:line="360" w:lineRule="auto"/>
              <w:jc w:val="center"/>
              <w:rPr>
                <w:sz w:val="24"/>
              </w:rPr>
            </w:pPr>
            <w:r>
              <w:rPr>
                <w:b/>
                <w:bCs/>
                <w:sz w:val="24"/>
              </w:rPr>
              <w:t>传真</w:t>
            </w:r>
          </w:p>
        </w:tc>
        <w:tc>
          <w:tcPr>
            <w:tcW w:w="1762" w:type="dxa"/>
            <w:gridSpan w:val="4"/>
            <w:vAlign w:val="center"/>
          </w:tcPr>
          <w:p>
            <w:pPr>
              <w:spacing w:line="360" w:lineRule="auto"/>
              <w:jc w:val="center"/>
              <w:rPr>
                <w:sz w:val="24"/>
              </w:rPr>
            </w:pPr>
            <w:r>
              <w:rPr>
                <w:sz w:val="24"/>
              </w:rPr>
              <w:t>/</w:t>
            </w:r>
          </w:p>
        </w:tc>
        <w:tc>
          <w:tcPr>
            <w:tcW w:w="1216" w:type="dxa"/>
            <w:gridSpan w:val="2"/>
            <w:vAlign w:val="center"/>
          </w:tcPr>
          <w:p>
            <w:pPr>
              <w:spacing w:line="360" w:lineRule="auto"/>
              <w:jc w:val="center"/>
              <w:rPr>
                <w:sz w:val="24"/>
              </w:rPr>
            </w:pPr>
            <w:r>
              <w:rPr>
                <w:b/>
                <w:bCs/>
                <w:sz w:val="24"/>
              </w:rPr>
              <w:t>邮政编码</w:t>
            </w:r>
          </w:p>
        </w:tc>
        <w:tc>
          <w:tcPr>
            <w:tcW w:w="1575" w:type="dxa"/>
            <w:gridSpan w:val="2"/>
            <w:vAlign w:val="center"/>
          </w:tcPr>
          <w:p>
            <w:pPr>
              <w:jc w:val="center"/>
              <w:rPr>
                <w:sz w:val="24"/>
              </w:rPr>
            </w:pPr>
            <w:r>
              <w:rPr>
                <w:sz w:val="24"/>
              </w:rPr>
              <w:t>711400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9" w:type="dxa"/>
            <w:vAlign w:val="center"/>
          </w:tcPr>
          <w:p>
            <w:pPr>
              <w:spacing w:line="360" w:lineRule="auto"/>
              <w:jc w:val="center"/>
              <w:rPr>
                <w:sz w:val="24"/>
              </w:rPr>
            </w:pPr>
            <w:r>
              <w:rPr>
                <w:b/>
                <w:bCs/>
                <w:sz w:val="24"/>
              </w:rPr>
              <w:t>建设地点</w:t>
            </w:r>
          </w:p>
        </w:tc>
        <w:tc>
          <w:tcPr>
            <w:tcW w:w="7547" w:type="dxa"/>
            <w:gridSpan w:val="14"/>
            <w:vAlign w:val="center"/>
          </w:tcPr>
          <w:p>
            <w:pPr>
              <w:spacing w:line="360" w:lineRule="auto"/>
              <w:jc w:val="center"/>
              <w:rPr>
                <w:sz w:val="24"/>
              </w:rPr>
            </w:pPr>
            <w:r>
              <w:rPr>
                <w:rFonts w:hint="eastAsia"/>
                <w:sz w:val="24"/>
              </w:rPr>
              <w:t>陕西省商洛市柞水县乾佑镇石镇村四组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9" w:type="dxa"/>
            <w:vAlign w:val="center"/>
          </w:tcPr>
          <w:p>
            <w:pPr>
              <w:spacing w:line="360" w:lineRule="auto"/>
              <w:jc w:val="center"/>
              <w:rPr>
                <w:sz w:val="24"/>
              </w:rPr>
            </w:pPr>
            <w:r>
              <w:rPr>
                <w:b/>
                <w:bCs/>
                <w:sz w:val="24"/>
              </w:rPr>
              <w:t>立项审批部门</w:t>
            </w:r>
          </w:p>
        </w:tc>
        <w:tc>
          <w:tcPr>
            <w:tcW w:w="3343" w:type="dxa"/>
            <w:gridSpan w:val="7"/>
            <w:vAlign w:val="center"/>
          </w:tcPr>
          <w:p>
            <w:pPr>
              <w:spacing w:line="360" w:lineRule="auto"/>
              <w:jc w:val="center"/>
              <w:rPr>
                <w:sz w:val="24"/>
              </w:rPr>
            </w:pPr>
            <w:r>
              <w:rPr>
                <w:rFonts w:hint="eastAsia"/>
                <w:sz w:val="24"/>
              </w:rPr>
              <w:t>柞水县发展和改革局</w:t>
            </w:r>
          </w:p>
        </w:tc>
        <w:tc>
          <w:tcPr>
            <w:tcW w:w="1227" w:type="dxa"/>
            <w:vAlign w:val="center"/>
          </w:tcPr>
          <w:p>
            <w:pPr>
              <w:pStyle w:val="103"/>
              <w:spacing w:line="360" w:lineRule="auto"/>
            </w:pPr>
            <w:r>
              <w:rPr>
                <w:b/>
                <w:bCs/>
              </w:rPr>
              <w:t>批准文号</w:t>
            </w:r>
          </w:p>
        </w:tc>
        <w:tc>
          <w:tcPr>
            <w:tcW w:w="2977" w:type="dxa"/>
            <w:gridSpan w:val="6"/>
            <w:vAlign w:val="center"/>
          </w:tcPr>
          <w:p>
            <w:pPr>
              <w:spacing w:line="360" w:lineRule="auto"/>
              <w:jc w:val="center"/>
              <w:rPr>
                <w:sz w:val="24"/>
              </w:rPr>
            </w:pPr>
            <w:r>
              <w:rPr>
                <w:rFonts w:hint="eastAsia"/>
                <w:sz w:val="24"/>
              </w:rPr>
              <w:t>2019-611026-61-03-010510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9" w:type="dxa"/>
            <w:vAlign w:val="center"/>
          </w:tcPr>
          <w:p>
            <w:pPr>
              <w:spacing w:line="360" w:lineRule="auto"/>
              <w:jc w:val="center"/>
              <w:rPr>
                <w:b/>
                <w:bCs/>
                <w:sz w:val="24"/>
              </w:rPr>
            </w:pPr>
            <w:r>
              <w:rPr>
                <w:b/>
                <w:bCs/>
                <w:sz w:val="24"/>
              </w:rPr>
              <w:t>建设性质</w:t>
            </w:r>
          </w:p>
        </w:tc>
        <w:tc>
          <w:tcPr>
            <w:tcW w:w="3343" w:type="dxa"/>
            <w:gridSpan w:val="7"/>
            <w:vAlign w:val="center"/>
          </w:tcPr>
          <w:p>
            <w:pPr>
              <w:spacing w:line="360" w:lineRule="auto"/>
              <w:jc w:val="center"/>
              <w:rPr>
                <w:sz w:val="24"/>
              </w:rPr>
            </w:pPr>
            <w:r>
              <w:rPr>
                <w:sz w:val="24"/>
              </w:rPr>
              <w:t>新建□ 改扩建■ 技改□</w:t>
            </w:r>
          </w:p>
        </w:tc>
        <w:tc>
          <w:tcPr>
            <w:tcW w:w="2114" w:type="dxa"/>
            <w:gridSpan w:val="4"/>
            <w:vAlign w:val="center"/>
          </w:tcPr>
          <w:p>
            <w:pPr>
              <w:spacing w:line="360" w:lineRule="auto"/>
              <w:jc w:val="center"/>
              <w:rPr>
                <w:sz w:val="24"/>
              </w:rPr>
            </w:pPr>
            <w:r>
              <w:rPr>
                <w:b/>
                <w:bCs/>
                <w:sz w:val="24"/>
              </w:rPr>
              <w:t>行业类别及代码</w:t>
            </w:r>
          </w:p>
        </w:tc>
        <w:tc>
          <w:tcPr>
            <w:tcW w:w="2090" w:type="dxa"/>
            <w:gridSpan w:val="3"/>
            <w:vAlign w:val="center"/>
          </w:tcPr>
          <w:p>
            <w:pPr>
              <w:jc w:val="center"/>
              <w:rPr>
                <w:sz w:val="24"/>
              </w:rPr>
            </w:pPr>
            <w:r>
              <w:rPr>
                <w:rFonts w:hint="eastAsia"/>
                <w:sz w:val="24"/>
              </w:rPr>
              <w:t xml:space="preserve">D4430 </w:t>
            </w:r>
          </w:p>
          <w:p>
            <w:pPr>
              <w:jc w:val="center"/>
              <w:rPr>
                <w:sz w:val="24"/>
              </w:rPr>
            </w:pPr>
            <w:r>
              <w:rPr>
                <w:rFonts w:hint="eastAsia"/>
                <w:sz w:val="24"/>
              </w:rPr>
              <w:t>热力生产和供应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9" w:type="dxa"/>
            <w:vAlign w:val="center"/>
          </w:tcPr>
          <w:p>
            <w:pPr>
              <w:spacing w:line="360" w:lineRule="auto"/>
              <w:jc w:val="center"/>
              <w:rPr>
                <w:sz w:val="24"/>
              </w:rPr>
            </w:pPr>
            <w:r>
              <w:rPr>
                <w:b/>
                <w:bCs/>
                <w:sz w:val="24"/>
              </w:rPr>
              <w:t>占地面积</w:t>
            </w:r>
            <w:r>
              <w:rPr>
                <w:b/>
                <w:bCs/>
              </w:rPr>
              <w:t>（m</w:t>
            </w:r>
            <w:r>
              <w:rPr>
                <w:b/>
                <w:bCs/>
                <w:vertAlign w:val="superscript"/>
              </w:rPr>
              <w:t>2</w:t>
            </w:r>
            <w:r>
              <w:rPr>
                <w:b/>
                <w:bCs/>
              </w:rPr>
              <w:t>）</w:t>
            </w:r>
          </w:p>
        </w:tc>
        <w:tc>
          <w:tcPr>
            <w:tcW w:w="2468" w:type="dxa"/>
            <w:gridSpan w:val="3"/>
            <w:vAlign w:val="center"/>
          </w:tcPr>
          <w:p>
            <w:pPr>
              <w:pStyle w:val="103"/>
              <w:spacing w:line="360" w:lineRule="auto"/>
            </w:pPr>
            <w:r>
              <w:t>720m²</w:t>
            </w:r>
          </w:p>
        </w:tc>
        <w:tc>
          <w:tcPr>
            <w:tcW w:w="2102" w:type="dxa"/>
            <w:gridSpan w:val="5"/>
            <w:vAlign w:val="center"/>
          </w:tcPr>
          <w:p>
            <w:pPr>
              <w:pStyle w:val="103"/>
              <w:spacing w:line="360" w:lineRule="auto"/>
            </w:pPr>
            <w:r>
              <w:rPr>
                <w:b/>
                <w:bCs/>
              </w:rPr>
              <w:t>绿化面积（m</w:t>
            </w:r>
            <w:r>
              <w:rPr>
                <w:b/>
                <w:bCs/>
                <w:vertAlign w:val="superscript"/>
              </w:rPr>
              <w:t>2</w:t>
            </w:r>
            <w:r>
              <w:rPr>
                <w:b/>
                <w:bCs/>
              </w:rPr>
              <w:t>）</w:t>
            </w:r>
          </w:p>
        </w:tc>
        <w:tc>
          <w:tcPr>
            <w:tcW w:w="2977" w:type="dxa"/>
            <w:gridSpan w:val="6"/>
            <w:vAlign w:val="center"/>
          </w:tcPr>
          <w:p>
            <w:pPr>
              <w:pStyle w:val="103"/>
              <w:spacing w:line="360" w:lineRule="auto"/>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trPr>
        <w:tc>
          <w:tcPr>
            <w:tcW w:w="1739" w:type="dxa"/>
            <w:vAlign w:val="center"/>
          </w:tcPr>
          <w:p>
            <w:pPr>
              <w:spacing w:line="360" w:lineRule="auto"/>
              <w:jc w:val="center"/>
              <w:rPr>
                <w:sz w:val="24"/>
              </w:rPr>
            </w:pPr>
            <w:r>
              <w:rPr>
                <w:b/>
                <w:bCs/>
                <w:sz w:val="24"/>
              </w:rPr>
              <w:t>总投资（万元）</w:t>
            </w:r>
          </w:p>
        </w:tc>
        <w:tc>
          <w:tcPr>
            <w:tcW w:w="1347" w:type="dxa"/>
            <w:vAlign w:val="center"/>
          </w:tcPr>
          <w:p>
            <w:pPr>
              <w:pStyle w:val="103"/>
              <w:spacing w:line="360" w:lineRule="auto"/>
            </w:pPr>
            <w:r>
              <w:t>100</w:t>
            </w:r>
          </w:p>
        </w:tc>
        <w:tc>
          <w:tcPr>
            <w:tcW w:w="1472" w:type="dxa"/>
            <w:gridSpan w:val="3"/>
            <w:vAlign w:val="center"/>
          </w:tcPr>
          <w:p>
            <w:pPr>
              <w:pStyle w:val="103"/>
              <w:rPr>
                <w:b/>
                <w:bCs/>
              </w:rPr>
            </w:pPr>
            <w:r>
              <w:rPr>
                <w:b/>
                <w:bCs/>
              </w:rPr>
              <w:t>环保投资</w:t>
            </w:r>
          </w:p>
          <w:p>
            <w:pPr>
              <w:jc w:val="center"/>
              <w:rPr>
                <w:sz w:val="24"/>
              </w:rPr>
            </w:pPr>
            <w:r>
              <w:rPr>
                <w:b/>
                <w:bCs/>
                <w:sz w:val="24"/>
              </w:rPr>
              <w:t>（万元）</w:t>
            </w:r>
          </w:p>
        </w:tc>
        <w:tc>
          <w:tcPr>
            <w:tcW w:w="1751" w:type="dxa"/>
            <w:gridSpan w:val="4"/>
            <w:vAlign w:val="center"/>
          </w:tcPr>
          <w:p>
            <w:pPr>
              <w:spacing w:line="360" w:lineRule="auto"/>
              <w:jc w:val="center"/>
              <w:rPr>
                <w:sz w:val="24"/>
              </w:rPr>
            </w:pPr>
            <w:r>
              <w:rPr>
                <w:rFonts w:hint="eastAsia"/>
                <w:sz w:val="24"/>
              </w:rPr>
              <w:t>25</w:t>
            </w:r>
          </w:p>
        </w:tc>
        <w:tc>
          <w:tcPr>
            <w:tcW w:w="1751" w:type="dxa"/>
            <w:gridSpan w:val="5"/>
            <w:vAlign w:val="center"/>
          </w:tcPr>
          <w:p>
            <w:pPr>
              <w:pStyle w:val="103"/>
            </w:pPr>
            <w:r>
              <w:rPr>
                <w:b/>
                <w:bCs/>
              </w:rPr>
              <w:t>环保投资占总投资比例</w:t>
            </w:r>
          </w:p>
        </w:tc>
        <w:tc>
          <w:tcPr>
            <w:tcW w:w="1226" w:type="dxa"/>
            <w:vAlign w:val="center"/>
          </w:tcPr>
          <w:p>
            <w:pPr>
              <w:spacing w:line="360" w:lineRule="auto"/>
              <w:jc w:val="center"/>
              <w:rPr>
                <w:sz w:val="24"/>
              </w:rPr>
            </w:pPr>
            <w:r>
              <w:rPr>
                <w:rFonts w:hint="eastAsia"/>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6" w:type="dxa"/>
            <w:gridSpan w:val="2"/>
            <w:vAlign w:val="center"/>
          </w:tcPr>
          <w:p>
            <w:pPr>
              <w:pStyle w:val="103"/>
              <w:spacing w:line="360" w:lineRule="auto"/>
            </w:pPr>
            <w:r>
              <w:rPr>
                <w:b/>
                <w:bCs/>
              </w:rPr>
              <w:t>评价经费（万元</w:t>
            </w:r>
            <w:r>
              <w:t>）</w:t>
            </w:r>
          </w:p>
        </w:tc>
        <w:tc>
          <w:tcPr>
            <w:tcW w:w="1472" w:type="dxa"/>
            <w:gridSpan w:val="3"/>
            <w:vAlign w:val="center"/>
          </w:tcPr>
          <w:p>
            <w:pPr>
              <w:pStyle w:val="103"/>
              <w:spacing w:line="360" w:lineRule="auto"/>
              <w:rPr>
                <w:lang w:val="en-GB"/>
              </w:rPr>
            </w:pPr>
            <w:r>
              <w:t>/</w:t>
            </w:r>
          </w:p>
        </w:tc>
        <w:tc>
          <w:tcPr>
            <w:tcW w:w="1751" w:type="dxa"/>
            <w:gridSpan w:val="4"/>
            <w:vAlign w:val="center"/>
          </w:tcPr>
          <w:p>
            <w:pPr>
              <w:spacing w:line="360" w:lineRule="auto"/>
              <w:jc w:val="center"/>
              <w:rPr>
                <w:sz w:val="24"/>
              </w:rPr>
            </w:pPr>
            <w:r>
              <w:rPr>
                <w:b/>
                <w:bCs/>
                <w:sz w:val="24"/>
              </w:rPr>
              <w:t>预期投产日期</w:t>
            </w:r>
          </w:p>
        </w:tc>
        <w:tc>
          <w:tcPr>
            <w:tcW w:w="2977" w:type="dxa"/>
            <w:gridSpan w:val="6"/>
            <w:vAlign w:val="center"/>
          </w:tcPr>
          <w:p>
            <w:pPr>
              <w:spacing w:line="360" w:lineRule="auto"/>
              <w:jc w:val="center"/>
              <w:rPr>
                <w:sz w:val="24"/>
              </w:rPr>
            </w:pPr>
            <w:r>
              <w:rPr>
                <w:rFonts w:hint="eastAsia"/>
                <w:sz w:val="24"/>
              </w:rPr>
              <w:t>2019年7月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15"/>
            <w:vAlign w:val="center"/>
          </w:tcPr>
          <w:p>
            <w:pPr>
              <w:adjustRightInd w:val="0"/>
              <w:snapToGrid w:val="0"/>
              <w:spacing w:before="156" w:beforeLines="50" w:line="360" w:lineRule="auto"/>
              <w:rPr>
                <w:b/>
                <w:sz w:val="24"/>
              </w:rPr>
            </w:pPr>
            <w:r>
              <w:rPr>
                <w:b/>
                <w:sz w:val="24"/>
              </w:rPr>
              <w:t>工程内容和规模</w:t>
            </w:r>
          </w:p>
          <w:p>
            <w:pPr>
              <w:adjustRightInd w:val="0"/>
              <w:snapToGrid w:val="0"/>
              <w:spacing w:line="360" w:lineRule="auto"/>
              <w:rPr>
                <w:b/>
                <w:sz w:val="24"/>
              </w:rPr>
            </w:pPr>
            <w:r>
              <w:rPr>
                <w:rFonts w:hint="eastAsia"/>
                <w:b/>
                <w:sz w:val="24"/>
              </w:rPr>
              <w:t>一</w:t>
            </w:r>
            <w:r>
              <w:rPr>
                <w:b/>
                <w:sz w:val="24"/>
              </w:rPr>
              <w:t>、项目由来</w:t>
            </w:r>
          </w:p>
          <w:p>
            <w:pPr>
              <w:adjustRightInd w:val="0"/>
              <w:snapToGrid w:val="0"/>
              <w:spacing w:line="360" w:lineRule="auto"/>
              <w:ind w:firstLine="480" w:firstLineChars="200"/>
              <w:rPr>
                <w:bCs/>
                <w:sz w:val="24"/>
              </w:rPr>
            </w:pPr>
            <w:r>
              <w:rPr>
                <w:rFonts w:hint="eastAsia"/>
                <w:bCs/>
                <w:sz w:val="24"/>
              </w:rPr>
              <w:t>麓苑国际大酒店</w:t>
            </w:r>
            <w:r>
              <w:rPr>
                <w:bCs/>
                <w:sz w:val="24"/>
              </w:rPr>
              <w:t>(</w:t>
            </w:r>
            <w:r>
              <w:rPr>
                <w:rFonts w:hint="eastAsia"/>
                <w:bCs/>
                <w:sz w:val="24"/>
              </w:rPr>
              <w:t>原名：陕西五洲万国生态度假酒店)是由陕西麓苑实业有限公司投入巨资兴建，由万国国际酒店管理有限公司管理的五星级综合性酒店。酒店位于商洛市柞水县盘龙生态产业园区内，主要包括住宿、餐饮、会议、娱乐等服务功能。</w:t>
            </w:r>
          </w:p>
          <w:p>
            <w:pPr>
              <w:adjustRightInd w:val="0"/>
              <w:snapToGrid w:val="0"/>
              <w:spacing w:line="360" w:lineRule="auto"/>
              <w:ind w:firstLine="480" w:firstLineChars="200"/>
              <w:rPr>
                <w:snapToGrid w:val="0"/>
                <w:sz w:val="24"/>
              </w:rPr>
            </w:pPr>
            <w:r>
              <w:rPr>
                <w:rFonts w:hint="eastAsia"/>
                <w:snapToGrid w:val="0"/>
                <w:sz w:val="24"/>
              </w:rPr>
              <w:t>根据《陕西省铁腕治霾打赢蓝天保卫战三年行动方案（2018-2020年）（修订版）》以及《陕西省铁腕治霾打赢蓝天保卫战2018年工作要点》的要求，陕西省应加快调整产业结构与能源结构，具体为“</w:t>
            </w:r>
            <w:r>
              <w:rPr>
                <w:rFonts w:hint="eastAsia"/>
                <w:sz w:val="24"/>
                <w:shd w:val="clear" w:color="auto" w:fill="FFFFFF"/>
              </w:rPr>
              <w:t>（十七）开展燃煤锅炉综合整治。全省不再新建每小时35蒸吨以下的燃煤锅炉，每小时65蒸吨及以上燃煤锅炉全部完成节能和超低排放改造。加大燃煤小锅炉及茶水炉、经营性炉灶、储粮烘干设备等燃煤设施淘汰力度，陕南、陕北淘汰每小时10蒸吨及以下燃煤锅炉。开展燃气锅炉低氮燃烧改造。</w:t>
            </w:r>
            <w:r>
              <w:rPr>
                <w:rFonts w:hint="eastAsia"/>
                <w:snapToGrid w:val="0"/>
                <w:sz w:val="24"/>
              </w:rPr>
              <w:t>”为响应政府号召，陕西麓苑实业有限公司拟</w:t>
            </w:r>
            <w:bookmarkStart w:id="3" w:name="_Hlk6158431"/>
            <w:r>
              <w:rPr>
                <w:rFonts w:hint="eastAsia"/>
                <w:snapToGrid w:val="0"/>
                <w:sz w:val="24"/>
              </w:rPr>
              <w:t>拆除原有10</w:t>
            </w:r>
            <w:r>
              <w:rPr>
                <w:snapToGrid w:val="0"/>
                <w:sz w:val="24"/>
              </w:rPr>
              <w:t>t</w:t>
            </w:r>
            <w:r>
              <w:rPr>
                <w:rFonts w:hint="eastAsia"/>
                <w:snapToGrid w:val="0"/>
                <w:sz w:val="24"/>
              </w:rPr>
              <w:t>/h燃煤锅炉，新建1台4t</w:t>
            </w:r>
            <w:r>
              <w:rPr>
                <w:snapToGrid w:val="0"/>
                <w:sz w:val="24"/>
              </w:rPr>
              <w:t>/h</w:t>
            </w:r>
            <w:r>
              <w:rPr>
                <w:rFonts w:hint="eastAsia"/>
                <w:snapToGrid w:val="0"/>
                <w:sz w:val="24"/>
              </w:rPr>
              <w:t>的燃气锅炉并配套低氮燃烧设备</w:t>
            </w:r>
            <w:bookmarkEnd w:id="3"/>
            <w:r>
              <w:rPr>
                <w:rFonts w:hint="eastAsia"/>
                <w:snapToGrid w:val="0"/>
                <w:sz w:val="24"/>
              </w:rPr>
              <w:t>。燃煤锅炉目前处于停运状态，燃气锅炉已安装于燃气锅炉东侧，未运行。燃气锅炉采用清洁燃料天然气作为燃料，可大幅降低锅炉烟气中的烟尘、SO</w:t>
            </w:r>
            <w:r>
              <w:rPr>
                <w:rFonts w:hint="eastAsia"/>
                <w:snapToGrid w:val="0"/>
                <w:sz w:val="24"/>
                <w:vertAlign w:val="subscript"/>
              </w:rPr>
              <w:t>2</w:t>
            </w:r>
            <w:r>
              <w:rPr>
                <w:rFonts w:hint="eastAsia"/>
                <w:snapToGrid w:val="0"/>
                <w:sz w:val="24"/>
              </w:rPr>
              <w:t>、NO</w:t>
            </w:r>
            <w:r>
              <w:rPr>
                <w:rFonts w:hint="eastAsia"/>
                <w:snapToGrid w:val="0"/>
                <w:sz w:val="24"/>
                <w:vertAlign w:val="subscript"/>
              </w:rPr>
              <w:t>2</w:t>
            </w:r>
            <w:r>
              <w:rPr>
                <w:rFonts w:hint="eastAsia"/>
                <w:snapToGrid w:val="0"/>
                <w:sz w:val="24"/>
              </w:rPr>
              <w:t>等污染物排放量；另外，燃气锅炉投入运行之后，原有煤炭运输、储存等环节产生的煤尘与噪声也不复存在；</w:t>
            </w:r>
            <w:bookmarkStart w:id="4" w:name="_Hlk6158488"/>
            <w:r>
              <w:rPr>
                <w:rFonts w:hint="eastAsia"/>
                <w:snapToGrid w:val="0"/>
                <w:sz w:val="24"/>
              </w:rPr>
              <w:t>因此本项目的实施对于改善区域环境质量具有积极的促进作用，有良好的环境正效益。</w:t>
            </w:r>
            <w:bookmarkEnd w:id="4"/>
          </w:p>
          <w:p>
            <w:pPr>
              <w:pStyle w:val="101"/>
              <w:adjustRightInd w:val="0"/>
              <w:snapToGrid w:val="0"/>
              <w:ind w:firstLine="480"/>
              <w:rPr>
                <w:rFonts w:ascii="Times New Roman" w:hAnsi="Times New Roman"/>
                <w:color w:val="auto"/>
                <w:szCs w:val="20"/>
              </w:rPr>
            </w:pPr>
            <w:r>
              <w:rPr>
                <w:rFonts w:ascii="Times New Roman" w:hAnsi="Times New Roman"/>
                <w:color w:val="auto"/>
                <w:szCs w:val="20"/>
              </w:rPr>
              <w:t>根据《中华人民共和国环境影响评价法》、《建设项目环境保护管理条例》及《建设项目环境保护分类管理名录》等规定，该项目应进行环境影响评价</w:t>
            </w:r>
            <w:r>
              <w:rPr>
                <w:rFonts w:hint="eastAsia" w:ascii="Times New Roman" w:hAnsi="Times New Roman"/>
                <w:color w:val="auto"/>
                <w:szCs w:val="20"/>
              </w:rPr>
              <w:t>。</w:t>
            </w:r>
            <w:r>
              <w:rPr>
                <w:rFonts w:ascii="Times New Roman" w:hAnsi="Times New Roman"/>
                <w:color w:val="auto"/>
                <w:szCs w:val="20"/>
              </w:rPr>
              <w:t>为此，</w:t>
            </w:r>
            <w:r>
              <w:rPr>
                <w:rFonts w:hint="eastAsia" w:ascii="Times New Roman" w:hAnsi="Times New Roman"/>
                <w:bCs/>
                <w:color w:val="auto"/>
              </w:rPr>
              <w:t>陕西麓苑实业有限公司委托我院承担该项目环境影响报告表的编制工作（委托书见附件1）。接受委托后，我单位立即开展了现场踏勘、资料收集等工作，并按照《环境影响评价技术导则》的相关要求，编制完成了本项目的环境影响报告表。</w:t>
            </w:r>
          </w:p>
          <w:p>
            <w:pPr>
              <w:adjustRightInd w:val="0"/>
              <w:snapToGrid w:val="0"/>
              <w:spacing w:line="360" w:lineRule="auto"/>
              <w:rPr>
                <w:b/>
                <w:sz w:val="24"/>
                <w:szCs w:val="20"/>
              </w:rPr>
            </w:pPr>
            <w:r>
              <w:rPr>
                <w:rFonts w:hint="eastAsia"/>
                <w:b/>
                <w:sz w:val="24"/>
                <w:szCs w:val="20"/>
              </w:rPr>
              <w:t>二</w:t>
            </w:r>
            <w:r>
              <w:rPr>
                <w:b/>
                <w:sz w:val="24"/>
                <w:szCs w:val="20"/>
              </w:rPr>
              <w:t>、</w:t>
            </w:r>
            <w:r>
              <w:rPr>
                <w:rFonts w:hint="eastAsia"/>
                <w:b/>
                <w:sz w:val="24"/>
                <w:szCs w:val="20"/>
              </w:rPr>
              <w:t>分析判定相关情况</w:t>
            </w:r>
          </w:p>
          <w:p>
            <w:pPr>
              <w:adjustRightInd w:val="0"/>
              <w:snapToGrid w:val="0"/>
              <w:spacing w:line="360" w:lineRule="auto"/>
              <w:ind w:firstLine="480" w:firstLineChars="200"/>
              <w:rPr>
                <w:sz w:val="24"/>
                <w:szCs w:val="20"/>
              </w:rPr>
            </w:pPr>
            <w:bookmarkStart w:id="5" w:name="_Hlk6158881"/>
            <w:r>
              <w:rPr>
                <w:rFonts w:hint="eastAsia"/>
                <w:sz w:val="24"/>
                <w:szCs w:val="20"/>
              </w:rPr>
              <w:t>（1）产业政策符合性分析</w:t>
            </w:r>
          </w:p>
          <w:p>
            <w:pPr>
              <w:adjustRightInd w:val="0"/>
              <w:snapToGrid w:val="0"/>
              <w:spacing w:line="360" w:lineRule="auto"/>
              <w:ind w:firstLine="480" w:firstLineChars="200"/>
              <w:rPr>
                <w:sz w:val="24"/>
                <w:szCs w:val="20"/>
              </w:rPr>
            </w:pPr>
            <w:r>
              <w:rPr>
                <w:rFonts w:hint="eastAsia"/>
                <w:sz w:val="24"/>
                <w:szCs w:val="20"/>
              </w:rPr>
              <w:t>根据《产业结构调整指导目录（2013年修订本）》，本项目不属于该文件中鼓励类、限制类和淘汰类产业，属于允许类产业。</w:t>
            </w:r>
          </w:p>
          <w:p>
            <w:pPr>
              <w:adjustRightInd w:val="0"/>
              <w:snapToGrid w:val="0"/>
              <w:spacing w:line="360" w:lineRule="auto"/>
              <w:ind w:firstLine="480" w:firstLineChars="200"/>
              <w:rPr>
                <w:sz w:val="24"/>
                <w:szCs w:val="20"/>
              </w:rPr>
            </w:pPr>
            <w:r>
              <w:rPr>
                <w:rFonts w:hint="eastAsia"/>
                <w:sz w:val="24"/>
                <w:szCs w:val="20"/>
              </w:rPr>
              <w:t>同时本项目已取得柞水县发展和改革局《陕西麓苑实业有限公司煤改气项目           备案确认书》（项目代码：2019-611026-61-03-010510），详见附件2。因此，本项目符合国家产业政策。</w:t>
            </w:r>
          </w:p>
          <w:bookmarkEnd w:id="5"/>
          <w:p>
            <w:pPr>
              <w:pStyle w:val="2"/>
              <w:adjustRightInd w:val="0"/>
              <w:snapToGrid w:val="0"/>
              <w:spacing w:line="360" w:lineRule="auto"/>
              <w:ind w:left="0" w:leftChars="0" w:firstLine="480" w:firstLineChars="200"/>
            </w:pPr>
            <w:r>
              <w:rPr>
                <w:rFonts w:hint="eastAsia"/>
              </w:rPr>
              <w:t>（2）与相关文件的符合性分析</w:t>
            </w:r>
          </w:p>
          <w:p>
            <w:pPr>
              <w:pStyle w:val="101"/>
              <w:snapToGrid w:val="0"/>
              <w:ind w:firstLine="480"/>
              <w:jc w:val="center"/>
              <w:rPr>
                <w:rFonts w:ascii="Times New Roman" w:hAnsi="Times New Roman" w:eastAsia="黑体"/>
                <w:color w:val="auto"/>
              </w:rPr>
            </w:pPr>
            <w:r>
              <w:rPr>
                <w:rFonts w:ascii="Times New Roman" w:hAnsi="Times New Roman" w:eastAsia="黑体"/>
                <w:color w:val="auto"/>
              </w:rPr>
              <w:t>表1 本项目与相关文件符合性分析</w:t>
            </w:r>
          </w:p>
          <w:tbl>
            <w:tblPr>
              <w:tblStyle w:val="25"/>
              <w:tblW w:w="901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4807"/>
              <w:gridCol w:w="2410"/>
              <w:gridCol w:w="9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843" w:type="dxa"/>
                  <w:vAlign w:val="center"/>
                </w:tcPr>
                <w:p>
                  <w:pPr>
                    <w:adjustRightInd w:val="0"/>
                    <w:snapToGrid w:val="0"/>
                    <w:jc w:val="center"/>
                    <w:rPr>
                      <w:szCs w:val="21"/>
                    </w:rPr>
                  </w:pPr>
                  <w:r>
                    <w:rPr>
                      <w:rFonts w:hint="eastAsia"/>
                      <w:szCs w:val="21"/>
                    </w:rPr>
                    <w:t>序号</w:t>
                  </w:r>
                </w:p>
              </w:tc>
              <w:tc>
                <w:tcPr>
                  <w:tcW w:w="4807" w:type="dxa"/>
                  <w:vAlign w:val="center"/>
                </w:tcPr>
                <w:p>
                  <w:pPr>
                    <w:adjustRightInd w:val="0"/>
                    <w:snapToGrid w:val="0"/>
                    <w:jc w:val="center"/>
                    <w:rPr>
                      <w:szCs w:val="21"/>
                    </w:rPr>
                  </w:pPr>
                  <w:r>
                    <w:rPr>
                      <w:rFonts w:hint="eastAsia"/>
                      <w:szCs w:val="21"/>
                    </w:rPr>
                    <w:t>具体要求</w:t>
                  </w:r>
                </w:p>
              </w:tc>
              <w:tc>
                <w:tcPr>
                  <w:tcW w:w="2410" w:type="dxa"/>
                  <w:vAlign w:val="center"/>
                </w:tcPr>
                <w:p>
                  <w:pPr>
                    <w:adjustRightInd w:val="0"/>
                    <w:snapToGrid w:val="0"/>
                    <w:jc w:val="center"/>
                    <w:rPr>
                      <w:szCs w:val="21"/>
                    </w:rPr>
                  </w:pPr>
                  <w:r>
                    <w:rPr>
                      <w:rFonts w:hint="eastAsia"/>
                      <w:szCs w:val="21"/>
                    </w:rPr>
                    <w:t>本项目情况</w:t>
                  </w:r>
                </w:p>
              </w:tc>
              <w:tc>
                <w:tcPr>
                  <w:tcW w:w="954" w:type="dxa"/>
                  <w:vAlign w:val="center"/>
                </w:tcPr>
                <w:p>
                  <w:pPr>
                    <w:adjustRightInd w:val="0"/>
                    <w:snapToGrid w:val="0"/>
                    <w:jc w:val="center"/>
                    <w:rPr>
                      <w:szCs w:val="21"/>
                    </w:rPr>
                  </w:pPr>
                  <w:r>
                    <w:rPr>
                      <w:rFonts w:hint="eastAsia"/>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9014" w:type="dxa"/>
                  <w:gridSpan w:val="4"/>
                  <w:vAlign w:val="center"/>
                </w:tcPr>
                <w:p>
                  <w:pPr>
                    <w:adjustRightInd w:val="0"/>
                    <w:snapToGrid w:val="0"/>
                    <w:jc w:val="center"/>
                    <w:rPr>
                      <w:szCs w:val="21"/>
                    </w:rPr>
                  </w:pPr>
                  <w:r>
                    <w:rPr>
                      <w:rFonts w:hint="eastAsia"/>
                      <w:szCs w:val="21"/>
                    </w:rPr>
                    <w:t>《陕西省铁腕治霾打赢蓝天保卫战三年行动方案（2018-2020）》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3" w:type="dxa"/>
                  <w:vAlign w:val="center"/>
                </w:tcPr>
                <w:p>
                  <w:pPr>
                    <w:adjustRightInd w:val="0"/>
                    <w:snapToGrid w:val="0"/>
                    <w:jc w:val="center"/>
                    <w:rPr>
                      <w:szCs w:val="21"/>
                    </w:rPr>
                  </w:pPr>
                  <w:r>
                    <w:rPr>
                      <w:rFonts w:hint="eastAsia"/>
                      <w:szCs w:val="21"/>
                    </w:rPr>
                    <w:t>1</w:t>
                  </w:r>
                </w:p>
              </w:tc>
              <w:tc>
                <w:tcPr>
                  <w:tcW w:w="4807" w:type="dxa"/>
                  <w:vAlign w:val="center"/>
                </w:tcPr>
                <w:p>
                  <w:pPr>
                    <w:adjustRightInd w:val="0"/>
                    <w:snapToGrid w:val="0"/>
                    <w:jc w:val="left"/>
                    <w:rPr>
                      <w:szCs w:val="21"/>
                    </w:rPr>
                  </w:pPr>
                  <w:r>
                    <w:rPr>
                      <w:rFonts w:hint="eastAsia"/>
                      <w:szCs w:val="21"/>
                    </w:rPr>
                    <w:t>开展燃煤锅炉综合整治。加大燃煤小锅炉及茶水炉、经营性炉灶、储粮烘干设备等燃煤设施淘汰力度，陕南、陕北淘汰每小时10蒸吨及以下燃煤锅炉。</w:t>
                  </w:r>
                </w:p>
              </w:tc>
              <w:tc>
                <w:tcPr>
                  <w:tcW w:w="2410" w:type="dxa"/>
                  <w:vAlign w:val="center"/>
                </w:tcPr>
                <w:p>
                  <w:pPr>
                    <w:adjustRightInd w:val="0"/>
                    <w:snapToGrid w:val="0"/>
                    <w:jc w:val="center"/>
                    <w:rPr>
                      <w:szCs w:val="21"/>
                    </w:rPr>
                  </w:pPr>
                  <w:r>
                    <w:rPr>
                      <w:rFonts w:hint="eastAsia"/>
                      <w:szCs w:val="21"/>
                    </w:rPr>
                    <w:t>本项目拆除燃煤锅炉，新建燃气锅炉</w:t>
                  </w:r>
                </w:p>
              </w:tc>
              <w:tc>
                <w:tcPr>
                  <w:tcW w:w="954" w:type="dxa"/>
                  <w:vAlign w:val="center"/>
                </w:tcPr>
                <w:p>
                  <w:pPr>
                    <w:adjustRightInd w:val="0"/>
                    <w:snapToGrid w:val="0"/>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3" w:type="dxa"/>
                  <w:vAlign w:val="center"/>
                </w:tcPr>
                <w:p>
                  <w:pPr>
                    <w:adjustRightInd w:val="0"/>
                    <w:snapToGrid w:val="0"/>
                    <w:jc w:val="center"/>
                    <w:rPr>
                      <w:szCs w:val="21"/>
                    </w:rPr>
                  </w:pPr>
                  <w:r>
                    <w:rPr>
                      <w:rFonts w:hint="eastAsia"/>
                      <w:szCs w:val="21"/>
                    </w:rPr>
                    <w:t>2</w:t>
                  </w:r>
                </w:p>
              </w:tc>
              <w:tc>
                <w:tcPr>
                  <w:tcW w:w="4807" w:type="dxa"/>
                  <w:vAlign w:val="center"/>
                </w:tcPr>
                <w:p>
                  <w:pPr>
                    <w:adjustRightInd w:val="0"/>
                    <w:snapToGrid w:val="0"/>
                    <w:jc w:val="center"/>
                    <w:rPr>
                      <w:szCs w:val="21"/>
                    </w:rPr>
                  </w:pPr>
                  <w:r>
                    <w:rPr>
                      <w:rFonts w:hint="eastAsia"/>
                      <w:szCs w:val="21"/>
                    </w:rPr>
                    <w:t>开展燃气锅炉低氮燃烧改造</w:t>
                  </w:r>
                </w:p>
              </w:tc>
              <w:tc>
                <w:tcPr>
                  <w:tcW w:w="2410" w:type="dxa"/>
                  <w:vAlign w:val="center"/>
                </w:tcPr>
                <w:p>
                  <w:pPr>
                    <w:adjustRightInd w:val="0"/>
                    <w:snapToGrid w:val="0"/>
                    <w:jc w:val="center"/>
                    <w:rPr>
                      <w:szCs w:val="21"/>
                    </w:rPr>
                  </w:pPr>
                  <w:r>
                    <w:rPr>
                      <w:rFonts w:hint="eastAsia"/>
                      <w:szCs w:val="21"/>
                    </w:rPr>
                    <w:t>本项目配有超低氮燃烧器</w:t>
                  </w:r>
                </w:p>
              </w:tc>
              <w:tc>
                <w:tcPr>
                  <w:tcW w:w="954" w:type="dxa"/>
                  <w:vAlign w:val="center"/>
                </w:tcPr>
                <w:p>
                  <w:pPr>
                    <w:adjustRightInd w:val="0"/>
                    <w:snapToGrid w:val="0"/>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9014" w:type="dxa"/>
                  <w:gridSpan w:val="4"/>
                  <w:vAlign w:val="center"/>
                </w:tcPr>
                <w:p>
                  <w:pPr>
                    <w:adjustRightInd w:val="0"/>
                    <w:snapToGrid w:val="0"/>
                    <w:jc w:val="center"/>
                    <w:rPr>
                      <w:szCs w:val="21"/>
                    </w:rPr>
                  </w:pPr>
                  <w:r>
                    <w:rPr>
                      <w:rFonts w:hint="eastAsia"/>
                      <w:szCs w:val="21"/>
                    </w:rPr>
                    <w:t>《关于印发大气污染防治行动计划的通知》（国发[2013]37号）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3" w:type="dxa"/>
                  <w:vAlign w:val="center"/>
                </w:tcPr>
                <w:p>
                  <w:pPr>
                    <w:adjustRightInd w:val="0"/>
                    <w:snapToGrid w:val="0"/>
                    <w:jc w:val="center"/>
                    <w:rPr>
                      <w:szCs w:val="21"/>
                    </w:rPr>
                  </w:pPr>
                  <w:r>
                    <w:rPr>
                      <w:rFonts w:hint="eastAsia"/>
                      <w:szCs w:val="21"/>
                    </w:rPr>
                    <w:t>1</w:t>
                  </w:r>
                </w:p>
              </w:tc>
              <w:tc>
                <w:tcPr>
                  <w:tcW w:w="4807" w:type="dxa"/>
                  <w:vAlign w:val="center"/>
                </w:tcPr>
                <w:p>
                  <w:pPr>
                    <w:adjustRightInd w:val="0"/>
                    <w:snapToGrid w:val="0"/>
                    <w:rPr>
                      <w:szCs w:val="21"/>
                    </w:rPr>
                  </w:pPr>
                  <w:r>
                    <w:rPr>
                      <w:rFonts w:hint="eastAsia"/>
                      <w:szCs w:val="21"/>
                    </w:rPr>
                    <w:t>加快推进集中供热、“煤改气”、“煤改电”工程建设</w:t>
                  </w:r>
                </w:p>
              </w:tc>
              <w:tc>
                <w:tcPr>
                  <w:tcW w:w="2410" w:type="dxa"/>
                  <w:vAlign w:val="center"/>
                </w:tcPr>
                <w:p>
                  <w:pPr>
                    <w:adjustRightInd w:val="0"/>
                    <w:snapToGrid w:val="0"/>
                    <w:jc w:val="center"/>
                    <w:rPr>
                      <w:szCs w:val="21"/>
                    </w:rPr>
                  </w:pPr>
                  <w:r>
                    <w:rPr>
                      <w:rFonts w:hint="eastAsia"/>
                      <w:szCs w:val="21"/>
                    </w:rPr>
                    <w:t>本项目拆除原有燃煤锅炉，新建燃气锅炉</w:t>
                  </w:r>
                </w:p>
              </w:tc>
              <w:tc>
                <w:tcPr>
                  <w:tcW w:w="954" w:type="dxa"/>
                  <w:vAlign w:val="center"/>
                </w:tcPr>
                <w:p>
                  <w:pPr>
                    <w:adjustRightInd w:val="0"/>
                    <w:snapToGrid w:val="0"/>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9014" w:type="dxa"/>
                  <w:gridSpan w:val="4"/>
                  <w:vAlign w:val="center"/>
                </w:tcPr>
                <w:p>
                  <w:pPr>
                    <w:adjustRightInd w:val="0"/>
                    <w:snapToGrid w:val="0"/>
                    <w:jc w:val="center"/>
                    <w:rPr>
                      <w:szCs w:val="21"/>
                    </w:rPr>
                  </w:pPr>
                  <w:r>
                    <w:rPr>
                      <w:rFonts w:hint="eastAsia"/>
                      <w:szCs w:val="21"/>
                    </w:rPr>
                    <w:t>《关于印发陕西省“十三五”环境保护规划的通知》（陕环发[2016]39号）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3" w:type="dxa"/>
                  <w:vAlign w:val="center"/>
                </w:tcPr>
                <w:p>
                  <w:pPr>
                    <w:adjustRightInd w:val="0"/>
                    <w:snapToGrid w:val="0"/>
                    <w:jc w:val="center"/>
                    <w:rPr>
                      <w:szCs w:val="21"/>
                    </w:rPr>
                  </w:pPr>
                  <w:r>
                    <w:rPr>
                      <w:rFonts w:hint="eastAsia"/>
                      <w:szCs w:val="21"/>
                    </w:rPr>
                    <w:t>1</w:t>
                  </w:r>
                </w:p>
              </w:tc>
              <w:tc>
                <w:tcPr>
                  <w:tcW w:w="4807" w:type="dxa"/>
                  <w:vAlign w:val="center"/>
                </w:tcPr>
                <w:p>
                  <w:pPr>
                    <w:adjustRightInd w:val="0"/>
                    <w:snapToGrid w:val="0"/>
                    <w:rPr>
                      <w:szCs w:val="21"/>
                    </w:rPr>
                  </w:pPr>
                  <w:r>
                    <w:rPr>
                      <w:rFonts w:hint="eastAsia"/>
                      <w:szCs w:val="21"/>
                    </w:rPr>
                    <w:t>加快“气化陕西”推进步伐，大力实施“煤改气”、“油改气”工程</w:t>
                  </w:r>
                </w:p>
              </w:tc>
              <w:tc>
                <w:tcPr>
                  <w:tcW w:w="2410" w:type="dxa"/>
                  <w:vAlign w:val="center"/>
                </w:tcPr>
                <w:p>
                  <w:pPr>
                    <w:adjustRightInd w:val="0"/>
                    <w:snapToGrid w:val="0"/>
                    <w:jc w:val="center"/>
                    <w:rPr>
                      <w:szCs w:val="21"/>
                    </w:rPr>
                  </w:pPr>
                  <w:r>
                    <w:rPr>
                      <w:rFonts w:hint="eastAsia"/>
                      <w:szCs w:val="21"/>
                    </w:rPr>
                    <w:t>本项目实施“煤改气”，拆除原有燃煤锅炉，新建燃气锅炉</w:t>
                  </w:r>
                </w:p>
              </w:tc>
              <w:tc>
                <w:tcPr>
                  <w:tcW w:w="954" w:type="dxa"/>
                  <w:vAlign w:val="center"/>
                </w:tcPr>
                <w:p>
                  <w:pPr>
                    <w:adjustRightInd w:val="0"/>
                    <w:snapToGrid w:val="0"/>
                    <w:jc w:val="center"/>
                    <w:rPr>
                      <w:szCs w:val="21"/>
                    </w:rPr>
                  </w:pPr>
                  <w:r>
                    <w:rPr>
                      <w:rFonts w:hint="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014" w:type="dxa"/>
                  <w:gridSpan w:val="4"/>
                  <w:vAlign w:val="center"/>
                </w:tcPr>
                <w:p>
                  <w:pPr>
                    <w:adjustRightInd w:val="0"/>
                    <w:snapToGrid w:val="0"/>
                    <w:jc w:val="center"/>
                    <w:rPr>
                      <w:szCs w:val="21"/>
                    </w:rPr>
                  </w:pPr>
                  <w:r>
                    <w:rPr>
                      <w:rFonts w:hint="eastAsia"/>
                    </w:rPr>
                    <w:t>《关于印发柞水县2018年度主要污染物总量减排实施方案的通知》（柞政办发[2018]34号）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3" w:type="dxa"/>
                  <w:vAlign w:val="center"/>
                </w:tcPr>
                <w:p>
                  <w:pPr>
                    <w:adjustRightInd w:val="0"/>
                    <w:snapToGrid w:val="0"/>
                    <w:jc w:val="center"/>
                    <w:rPr>
                      <w:szCs w:val="21"/>
                    </w:rPr>
                  </w:pPr>
                  <w:r>
                    <w:rPr>
                      <w:rFonts w:hint="eastAsia"/>
                      <w:szCs w:val="21"/>
                    </w:rPr>
                    <w:t>1</w:t>
                  </w:r>
                </w:p>
              </w:tc>
              <w:tc>
                <w:tcPr>
                  <w:tcW w:w="4807" w:type="dxa"/>
                  <w:vAlign w:val="center"/>
                </w:tcPr>
                <w:p>
                  <w:pPr>
                    <w:adjustRightInd w:val="0"/>
                    <w:snapToGrid w:val="0"/>
                    <w:rPr>
                      <w:szCs w:val="21"/>
                    </w:rPr>
                  </w:pPr>
                  <w:r>
                    <w:rPr>
                      <w:rFonts w:hint="eastAsia"/>
                      <w:szCs w:val="21"/>
                    </w:rPr>
                    <w:t>加快推进高污染燃料禁燃区建设，减少燃煤污染，控制煤炭消费，实施气化柞水工程，推行城区禁烧烟煤。</w:t>
                  </w:r>
                </w:p>
              </w:tc>
              <w:tc>
                <w:tcPr>
                  <w:tcW w:w="2410" w:type="dxa"/>
                  <w:vAlign w:val="center"/>
                </w:tcPr>
                <w:p>
                  <w:pPr>
                    <w:adjustRightInd w:val="0"/>
                    <w:snapToGrid w:val="0"/>
                    <w:jc w:val="center"/>
                    <w:rPr>
                      <w:szCs w:val="21"/>
                    </w:rPr>
                  </w:pPr>
                  <w:r>
                    <w:rPr>
                      <w:rFonts w:hint="eastAsia"/>
                      <w:szCs w:val="21"/>
                    </w:rPr>
                    <w:t>本项目拆除原有燃煤锅炉，新建燃气锅炉，减少了燃煤污染</w:t>
                  </w:r>
                </w:p>
              </w:tc>
              <w:tc>
                <w:tcPr>
                  <w:tcW w:w="954" w:type="dxa"/>
                  <w:vAlign w:val="center"/>
                </w:tcPr>
                <w:p>
                  <w:pPr>
                    <w:adjustRightInd w:val="0"/>
                    <w:snapToGrid w:val="0"/>
                    <w:jc w:val="center"/>
                    <w:rPr>
                      <w:szCs w:val="21"/>
                    </w:rPr>
                  </w:pPr>
                  <w:r>
                    <w:rPr>
                      <w:rFonts w:hint="eastAsia"/>
                      <w:szCs w:val="21"/>
                    </w:rPr>
                    <w:t>符合</w:t>
                  </w:r>
                </w:p>
              </w:tc>
            </w:tr>
          </w:tbl>
          <w:p>
            <w:pPr>
              <w:pStyle w:val="101"/>
              <w:adjustRightInd w:val="0"/>
              <w:snapToGrid w:val="0"/>
              <w:spacing w:before="156" w:beforeLines="50"/>
              <w:ind w:firstLine="480"/>
              <w:rPr>
                <w:rFonts w:ascii="Times New Roman" w:hAnsi="Times New Roman"/>
                <w:bCs/>
                <w:color w:val="auto"/>
                <w:szCs w:val="22"/>
              </w:rPr>
            </w:pPr>
            <w:r>
              <w:rPr>
                <w:rFonts w:hint="eastAsia" w:ascii="Times New Roman" w:hAnsi="Times New Roman"/>
                <w:bCs/>
                <w:color w:val="auto"/>
                <w:szCs w:val="22"/>
              </w:rPr>
              <w:t>（3）选址合理性分析</w:t>
            </w:r>
          </w:p>
          <w:p>
            <w:pPr>
              <w:pStyle w:val="101"/>
              <w:adjustRightInd w:val="0"/>
              <w:snapToGrid w:val="0"/>
              <w:ind w:firstLine="480"/>
              <w:rPr>
                <w:rFonts w:ascii="Times New Roman" w:hAnsi="Times New Roman"/>
                <w:bCs/>
                <w:color w:val="auto"/>
                <w:szCs w:val="22"/>
              </w:rPr>
            </w:pPr>
            <w:r>
              <w:rPr>
                <w:rFonts w:hint="eastAsia" w:ascii="Times New Roman" w:hAnsi="Times New Roman"/>
                <w:bCs/>
                <w:color w:val="auto"/>
                <w:szCs w:val="22"/>
              </w:rPr>
              <w:t>本项目属于麓苑国际大酒店配套基础设施，酒店位于</w:t>
            </w:r>
            <w:bookmarkStart w:id="6" w:name="_Hlk6158240"/>
            <w:r>
              <w:rPr>
                <w:rFonts w:hint="eastAsia" w:ascii="Times New Roman" w:hAnsi="Times New Roman"/>
                <w:bCs/>
                <w:color w:val="auto"/>
                <w:szCs w:val="22"/>
              </w:rPr>
              <w:t>陕西省商洛市柞水县乾佑镇石镇村四组</w:t>
            </w:r>
            <w:bookmarkEnd w:id="6"/>
            <w:r>
              <w:rPr>
                <w:rFonts w:hint="eastAsia" w:ascii="Times New Roman" w:hAnsi="Times New Roman"/>
                <w:bCs/>
                <w:color w:val="auto"/>
                <w:szCs w:val="22"/>
              </w:rPr>
              <w:t>，项目所在地交通、供水、供电等公用设施齐全，不涉及自然保护区、风景名胜区、名木古树保护地和珍稀濒危野生动植物生境等生态环境敏感目标；根据环境质量现状监测结果，项目所在地环境质量良好。</w:t>
            </w:r>
          </w:p>
          <w:p>
            <w:pPr>
              <w:pStyle w:val="101"/>
              <w:adjustRightInd w:val="0"/>
              <w:snapToGrid w:val="0"/>
              <w:ind w:firstLine="480"/>
              <w:rPr>
                <w:rFonts w:ascii="Times New Roman" w:hAnsi="Times New Roman"/>
                <w:bCs/>
                <w:color w:val="auto"/>
                <w:szCs w:val="22"/>
              </w:rPr>
            </w:pPr>
            <w:bookmarkStart w:id="7" w:name="_Hlk6158211"/>
            <w:r>
              <w:rPr>
                <w:rFonts w:hint="eastAsia" w:ascii="Times New Roman" w:hAnsi="Times New Roman"/>
                <w:bCs/>
                <w:color w:val="auto"/>
                <w:szCs w:val="22"/>
              </w:rPr>
              <w:t>项目建设地址为麓苑国际大酒店原有锅炉房位置，本次建设不新增用地。燃煤锅炉改建为燃气锅炉后，项目废气、废水、噪声和固废均能得到合理的处理处置，并且相比改建前，改建后项目污染物排放量有明显降低，</w:t>
            </w:r>
            <w:bookmarkEnd w:id="7"/>
            <w:r>
              <w:rPr>
                <w:rFonts w:hint="eastAsia" w:ascii="Times New Roman" w:hAnsi="Times New Roman"/>
                <w:bCs/>
                <w:color w:val="auto"/>
                <w:szCs w:val="22"/>
              </w:rPr>
              <w:t>对区域环境质量影响较小，从环保角度考虑，本项目选址可行。</w:t>
            </w:r>
          </w:p>
          <w:p>
            <w:pPr>
              <w:adjustRightInd w:val="0"/>
              <w:snapToGrid w:val="0"/>
              <w:spacing w:line="360" w:lineRule="auto"/>
              <w:jc w:val="left"/>
              <w:rPr>
                <w:sz w:val="24"/>
              </w:rPr>
            </w:pPr>
            <w:r>
              <w:rPr>
                <w:rFonts w:hint="eastAsia"/>
                <w:b/>
                <w:sz w:val="24"/>
              </w:rPr>
              <w:t>三</w:t>
            </w:r>
            <w:r>
              <w:rPr>
                <w:b/>
                <w:sz w:val="24"/>
              </w:rPr>
              <w:t>、</w:t>
            </w:r>
            <w:r>
              <w:rPr>
                <w:rFonts w:hint="eastAsia"/>
                <w:b/>
                <w:sz w:val="24"/>
              </w:rPr>
              <w:t>项目概况</w:t>
            </w:r>
          </w:p>
          <w:p>
            <w:pPr>
              <w:pStyle w:val="101"/>
              <w:snapToGrid w:val="0"/>
              <w:ind w:firstLine="482"/>
              <w:rPr>
                <w:rFonts w:ascii="Times New Roman" w:hAnsi="Times New Roman"/>
                <w:b/>
                <w:bCs/>
                <w:color w:val="auto"/>
              </w:rPr>
            </w:pPr>
            <w:r>
              <w:rPr>
                <w:rFonts w:hint="eastAsia" w:ascii="Times New Roman" w:hAnsi="Times New Roman"/>
                <w:b/>
                <w:bCs/>
                <w:color w:val="auto"/>
              </w:rPr>
              <w:t>1、建设概况</w:t>
            </w:r>
          </w:p>
          <w:p>
            <w:pPr>
              <w:pStyle w:val="101"/>
              <w:snapToGrid w:val="0"/>
              <w:ind w:firstLine="480"/>
              <w:rPr>
                <w:rFonts w:ascii="Times New Roman" w:hAnsi="Times New Roman"/>
                <w:bCs/>
                <w:color w:val="auto"/>
              </w:rPr>
            </w:pPr>
            <w:r>
              <w:rPr>
                <w:rFonts w:hint="eastAsia" w:ascii="Times New Roman" w:hAnsi="Times New Roman"/>
                <w:bCs/>
                <w:color w:val="auto"/>
              </w:rPr>
              <w:t>项目名称：陕西麓苑实业有限公司煤改气项目</w:t>
            </w:r>
          </w:p>
          <w:p>
            <w:pPr>
              <w:pStyle w:val="101"/>
              <w:snapToGrid w:val="0"/>
              <w:ind w:firstLine="480"/>
              <w:rPr>
                <w:rFonts w:ascii="Times New Roman" w:hAnsi="Times New Roman"/>
                <w:bCs/>
                <w:color w:val="auto"/>
              </w:rPr>
            </w:pPr>
            <w:r>
              <w:rPr>
                <w:rFonts w:hint="eastAsia" w:ascii="Times New Roman" w:hAnsi="Times New Roman"/>
                <w:bCs/>
                <w:color w:val="auto"/>
              </w:rPr>
              <w:t>项目性质：改建</w:t>
            </w:r>
          </w:p>
          <w:p>
            <w:pPr>
              <w:pStyle w:val="101"/>
              <w:snapToGrid w:val="0"/>
              <w:ind w:firstLine="480"/>
              <w:rPr>
                <w:rFonts w:ascii="Times New Roman" w:hAnsi="Times New Roman"/>
                <w:bCs/>
                <w:color w:val="auto"/>
              </w:rPr>
            </w:pPr>
            <w:r>
              <w:rPr>
                <w:rFonts w:hint="eastAsia" w:ascii="Times New Roman" w:hAnsi="Times New Roman"/>
                <w:bCs/>
                <w:color w:val="auto"/>
              </w:rPr>
              <w:t>建设单位：陕西麓苑实业有限公司</w:t>
            </w:r>
          </w:p>
          <w:p>
            <w:pPr>
              <w:pStyle w:val="101"/>
              <w:snapToGrid w:val="0"/>
              <w:ind w:firstLine="480"/>
              <w:rPr>
                <w:rFonts w:ascii="Times New Roman" w:hAnsi="Times New Roman"/>
                <w:bCs/>
                <w:color w:val="auto"/>
              </w:rPr>
            </w:pPr>
            <w:r>
              <w:rPr>
                <w:rFonts w:hint="eastAsia" w:ascii="Times New Roman" w:hAnsi="Times New Roman"/>
                <w:bCs/>
                <w:color w:val="auto"/>
              </w:rPr>
              <w:t>总投资：100万元</w:t>
            </w:r>
          </w:p>
          <w:p>
            <w:pPr>
              <w:pStyle w:val="101"/>
              <w:snapToGrid w:val="0"/>
              <w:ind w:firstLine="480"/>
              <w:rPr>
                <w:rFonts w:ascii="Times New Roman" w:hAnsi="Times New Roman"/>
                <w:bCs/>
                <w:color w:val="auto"/>
              </w:rPr>
            </w:pPr>
            <w:r>
              <w:rPr>
                <w:rFonts w:hint="eastAsia" w:ascii="Times New Roman" w:hAnsi="Times New Roman"/>
                <w:bCs/>
                <w:color w:val="auto"/>
              </w:rPr>
              <w:t>建设地点：陕西省商洛市柞水县乾佑镇石镇村四组，项目所在地坐标为东经109°6'15''，北纬33°</w:t>
            </w:r>
            <w:r>
              <w:rPr>
                <w:rFonts w:ascii="Times New Roman" w:hAnsi="Times New Roman"/>
                <w:bCs/>
                <w:color w:val="auto"/>
              </w:rPr>
              <w:t>39</w:t>
            </w:r>
            <w:r>
              <w:rPr>
                <w:rFonts w:hint="eastAsia" w:ascii="Times New Roman" w:hAnsi="Times New Roman"/>
                <w:bCs/>
                <w:color w:val="auto"/>
              </w:rPr>
              <w:t>'</w:t>
            </w:r>
            <w:r>
              <w:rPr>
                <w:rFonts w:ascii="Times New Roman" w:hAnsi="Times New Roman"/>
                <w:bCs/>
                <w:color w:val="auto"/>
              </w:rPr>
              <w:t>40</w:t>
            </w:r>
            <w:r>
              <w:rPr>
                <w:rFonts w:hint="eastAsia" w:ascii="Times New Roman" w:hAnsi="Times New Roman"/>
                <w:bCs/>
                <w:color w:val="auto"/>
              </w:rPr>
              <w:t>''，海拔高度为804</w:t>
            </w:r>
            <w:r>
              <w:rPr>
                <w:rFonts w:ascii="Times New Roman" w:hAnsi="Times New Roman"/>
                <w:bCs/>
                <w:color w:val="auto"/>
              </w:rPr>
              <w:t>m</w:t>
            </w:r>
            <w:r>
              <w:rPr>
                <w:rFonts w:hint="eastAsia" w:ascii="Times New Roman" w:hAnsi="Times New Roman"/>
                <w:bCs/>
                <w:color w:val="auto"/>
              </w:rPr>
              <w:t>，项目具体建设位置见附图1。</w:t>
            </w:r>
          </w:p>
          <w:p>
            <w:pPr>
              <w:pStyle w:val="101"/>
              <w:snapToGrid w:val="0"/>
              <w:ind w:firstLine="482"/>
              <w:rPr>
                <w:rFonts w:ascii="Times New Roman" w:hAnsi="Times New Roman"/>
                <w:b/>
                <w:bCs/>
                <w:color w:val="auto"/>
              </w:rPr>
            </w:pPr>
            <w:r>
              <w:rPr>
                <w:rFonts w:hint="eastAsia" w:ascii="Times New Roman" w:hAnsi="Times New Roman"/>
                <w:b/>
                <w:bCs/>
                <w:color w:val="auto"/>
              </w:rPr>
              <w:t>2、建设内容</w:t>
            </w:r>
          </w:p>
          <w:p>
            <w:pPr>
              <w:pStyle w:val="101"/>
              <w:snapToGrid w:val="0"/>
              <w:ind w:firstLine="480"/>
              <w:rPr>
                <w:rFonts w:ascii="Times New Roman" w:hAnsi="Times New Roman"/>
                <w:bCs/>
                <w:color w:val="auto"/>
              </w:rPr>
            </w:pPr>
            <w:bookmarkStart w:id="8" w:name="_Hlk6158336"/>
            <w:r>
              <w:rPr>
                <w:rFonts w:hint="eastAsia" w:ascii="Times New Roman" w:hAnsi="Times New Roman"/>
                <w:bCs/>
                <w:color w:val="auto"/>
              </w:rPr>
              <w:t>本项目建设内容主要为：利用原有锅炉房，拆除燃煤锅炉（10t/h）替换为1台4t/h燃气锅炉</w:t>
            </w:r>
            <w:bookmarkEnd w:id="8"/>
            <w:r>
              <w:rPr>
                <w:rFonts w:hint="eastAsia" w:ascii="Times New Roman" w:hAnsi="Times New Roman"/>
                <w:bCs/>
                <w:color w:val="auto"/>
              </w:rPr>
              <w:t>。项目组成见表2。</w:t>
            </w:r>
          </w:p>
          <w:p>
            <w:pPr>
              <w:pStyle w:val="101"/>
              <w:snapToGrid w:val="0"/>
              <w:ind w:firstLine="480"/>
              <w:rPr>
                <w:rFonts w:ascii="Times New Roman" w:hAnsi="Times New Roman"/>
                <w:bCs/>
                <w:color w:val="auto"/>
              </w:rPr>
            </w:pPr>
            <w:r>
              <w:rPr>
                <w:rFonts w:hint="eastAsia" w:ascii="Times New Roman" w:hAnsi="Times New Roman"/>
                <w:bCs/>
                <w:color w:val="auto"/>
              </w:rPr>
              <w:t>由于原有燃煤锅炉用于酒店热水及供暖，本次</w:t>
            </w:r>
            <w:r>
              <w:rPr>
                <w:rFonts w:hint="eastAsia"/>
                <w:color w:val="auto"/>
              </w:rPr>
              <w:t>改建燃气锅炉主要用于酒店热水供应，不用于供暖等其他用途。根据陕西省燃气设计院核算，4t</w:t>
            </w:r>
            <w:r>
              <w:rPr>
                <w:color w:val="auto"/>
              </w:rPr>
              <w:t>/h</w:t>
            </w:r>
            <w:r>
              <w:rPr>
                <w:rFonts w:hint="eastAsia"/>
                <w:color w:val="auto"/>
              </w:rPr>
              <w:t>燃气锅炉能够满足酒店正常运行时热水供应。</w:t>
            </w:r>
          </w:p>
          <w:p>
            <w:pPr>
              <w:spacing w:line="360" w:lineRule="auto"/>
              <w:jc w:val="center"/>
              <w:outlineLvl w:val="4"/>
              <w:rPr>
                <w:rFonts w:eastAsia="黑体"/>
                <w:sz w:val="24"/>
                <w:szCs w:val="21"/>
              </w:rPr>
            </w:pPr>
            <w:bookmarkStart w:id="9" w:name="_Hlk6158551"/>
            <w:r>
              <w:rPr>
                <w:rFonts w:eastAsia="黑体"/>
                <w:sz w:val="24"/>
                <w:szCs w:val="21"/>
              </w:rPr>
              <w:t>表</w:t>
            </w:r>
            <w:r>
              <w:rPr>
                <w:rFonts w:hint="eastAsia" w:eastAsia="黑体"/>
                <w:sz w:val="24"/>
                <w:szCs w:val="21"/>
              </w:rPr>
              <w:t>2</w:t>
            </w:r>
            <w:r>
              <w:rPr>
                <w:rFonts w:eastAsia="黑体"/>
                <w:sz w:val="24"/>
                <w:szCs w:val="21"/>
              </w:rPr>
              <w:t xml:space="preserve"> 项目组成一览表</w:t>
            </w:r>
          </w:p>
          <w:tbl>
            <w:tblPr>
              <w:tblStyle w:val="25"/>
              <w:tblW w:w="8789" w:type="dxa"/>
              <w:tblInd w:w="13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20"/>
              <w:gridCol w:w="5908"/>
              <w:gridCol w:w="8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2071" w:type="dxa"/>
                  <w:gridSpan w:val="2"/>
                  <w:vAlign w:val="center"/>
                </w:tcPr>
                <w:p>
                  <w:pPr>
                    <w:widowControl/>
                    <w:adjustRightInd w:val="0"/>
                    <w:snapToGrid w:val="0"/>
                    <w:jc w:val="center"/>
                    <w:rPr>
                      <w:kern w:val="0"/>
                      <w:szCs w:val="22"/>
                    </w:rPr>
                  </w:pPr>
                  <w:bookmarkStart w:id="10" w:name="_Hlk3908070"/>
                  <w:r>
                    <w:rPr>
                      <w:kern w:val="0"/>
                      <w:szCs w:val="22"/>
                    </w:rPr>
                    <w:t>项目组成</w:t>
                  </w:r>
                </w:p>
              </w:tc>
              <w:tc>
                <w:tcPr>
                  <w:tcW w:w="5908" w:type="dxa"/>
                  <w:vAlign w:val="center"/>
                </w:tcPr>
                <w:p>
                  <w:pPr>
                    <w:widowControl/>
                    <w:adjustRightInd w:val="0"/>
                    <w:snapToGrid w:val="0"/>
                    <w:jc w:val="center"/>
                    <w:rPr>
                      <w:kern w:val="0"/>
                      <w:szCs w:val="22"/>
                    </w:rPr>
                  </w:pPr>
                  <w:r>
                    <w:rPr>
                      <w:kern w:val="0"/>
                      <w:szCs w:val="22"/>
                    </w:rPr>
                    <w:t>建设内容</w:t>
                  </w:r>
                </w:p>
              </w:tc>
              <w:tc>
                <w:tcPr>
                  <w:tcW w:w="810" w:type="dxa"/>
                  <w:vAlign w:val="center"/>
                </w:tcPr>
                <w:p>
                  <w:pPr>
                    <w:widowControl/>
                    <w:adjustRightInd w:val="0"/>
                    <w:snapToGrid w:val="0"/>
                    <w:jc w:val="center"/>
                    <w:rPr>
                      <w:kern w:val="0"/>
                      <w:szCs w:val="22"/>
                    </w:rPr>
                  </w:pPr>
                  <w:r>
                    <w:rPr>
                      <w:kern w:val="0"/>
                      <w:szCs w:val="22"/>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851" w:type="dxa"/>
                  <w:vMerge w:val="restart"/>
                  <w:vAlign w:val="center"/>
                </w:tcPr>
                <w:p>
                  <w:pPr>
                    <w:widowControl/>
                    <w:adjustRightInd w:val="0"/>
                    <w:snapToGrid w:val="0"/>
                    <w:jc w:val="center"/>
                    <w:rPr>
                      <w:kern w:val="0"/>
                      <w:szCs w:val="22"/>
                    </w:rPr>
                  </w:pPr>
                  <w:r>
                    <w:rPr>
                      <w:kern w:val="0"/>
                      <w:szCs w:val="22"/>
                    </w:rPr>
                    <w:t>主体</w:t>
                  </w:r>
                </w:p>
                <w:p>
                  <w:pPr>
                    <w:widowControl/>
                    <w:adjustRightInd w:val="0"/>
                    <w:snapToGrid w:val="0"/>
                    <w:jc w:val="center"/>
                    <w:rPr>
                      <w:kern w:val="0"/>
                      <w:szCs w:val="22"/>
                    </w:rPr>
                  </w:pPr>
                  <w:r>
                    <w:rPr>
                      <w:kern w:val="0"/>
                      <w:szCs w:val="22"/>
                    </w:rPr>
                    <w:t>工程</w:t>
                  </w:r>
                </w:p>
              </w:tc>
              <w:tc>
                <w:tcPr>
                  <w:tcW w:w="1220" w:type="dxa"/>
                  <w:vAlign w:val="center"/>
                </w:tcPr>
                <w:p>
                  <w:pPr>
                    <w:widowControl/>
                    <w:adjustRightInd w:val="0"/>
                    <w:snapToGrid w:val="0"/>
                    <w:jc w:val="center"/>
                    <w:rPr>
                      <w:kern w:val="0"/>
                      <w:szCs w:val="22"/>
                    </w:rPr>
                  </w:pPr>
                  <w:r>
                    <w:rPr>
                      <w:kern w:val="0"/>
                      <w:szCs w:val="22"/>
                    </w:rPr>
                    <w:t>锅炉房</w:t>
                  </w:r>
                </w:p>
              </w:tc>
              <w:tc>
                <w:tcPr>
                  <w:tcW w:w="5908" w:type="dxa"/>
                  <w:vAlign w:val="center"/>
                </w:tcPr>
                <w:p>
                  <w:pPr>
                    <w:widowControl/>
                    <w:adjustRightInd w:val="0"/>
                    <w:snapToGrid w:val="0"/>
                    <w:jc w:val="center"/>
                    <w:rPr>
                      <w:kern w:val="0"/>
                      <w:szCs w:val="22"/>
                    </w:rPr>
                  </w:pPr>
                  <w:r>
                    <w:rPr>
                      <w:kern w:val="0"/>
                      <w:szCs w:val="22"/>
                    </w:rPr>
                    <w:t>锅炉房占地面积720m²</w:t>
                  </w:r>
                </w:p>
              </w:tc>
              <w:tc>
                <w:tcPr>
                  <w:tcW w:w="810" w:type="dxa"/>
                  <w:vAlign w:val="center"/>
                </w:tcPr>
                <w:p>
                  <w:pPr>
                    <w:widowControl/>
                    <w:adjustRightInd w:val="0"/>
                    <w:snapToGrid w:val="0"/>
                    <w:jc w:val="center"/>
                    <w:rPr>
                      <w:kern w:val="0"/>
                      <w:szCs w:val="22"/>
                    </w:rPr>
                  </w:pPr>
                  <w:r>
                    <w:rPr>
                      <w:rFonts w:hint="eastAsia"/>
                      <w:kern w:val="0"/>
                      <w:szCs w:val="22"/>
                    </w:rPr>
                    <w:t>利用</w:t>
                  </w:r>
                </w:p>
                <w:p>
                  <w:pPr>
                    <w:widowControl/>
                    <w:adjustRightInd w:val="0"/>
                    <w:snapToGrid w:val="0"/>
                    <w:jc w:val="center"/>
                    <w:rPr>
                      <w:kern w:val="0"/>
                      <w:szCs w:val="22"/>
                    </w:rPr>
                  </w:pPr>
                  <w:r>
                    <w:rPr>
                      <w:rFonts w:hint="eastAsia"/>
                      <w:kern w:val="0"/>
                      <w:szCs w:val="22"/>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851" w:type="dxa"/>
                  <w:vMerge w:val="continue"/>
                  <w:vAlign w:val="center"/>
                </w:tcPr>
                <w:p>
                  <w:pPr>
                    <w:widowControl/>
                    <w:adjustRightInd w:val="0"/>
                    <w:snapToGrid w:val="0"/>
                    <w:jc w:val="center"/>
                    <w:rPr>
                      <w:kern w:val="0"/>
                      <w:szCs w:val="22"/>
                    </w:rPr>
                  </w:pPr>
                </w:p>
              </w:tc>
              <w:tc>
                <w:tcPr>
                  <w:tcW w:w="1220" w:type="dxa"/>
                  <w:vAlign w:val="center"/>
                </w:tcPr>
                <w:p>
                  <w:pPr>
                    <w:widowControl/>
                    <w:adjustRightInd w:val="0"/>
                    <w:snapToGrid w:val="0"/>
                    <w:jc w:val="center"/>
                    <w:rPr>
                      <w:kern w:val="0"/>
                      <w:szCs w:val="22"/>
                    </w:rPr>
                  </w:pPr>
                  <w:r>
                    <w:rPr>
                      <w:rFonts w:hint="eastAsia"/>
                      <w:kern w:val="0"/>
                      <w:szCs w:val="22"/>
                    </w:rPr>
                    <w:t>蒸汽</w:t>
                  </w:r>
                  <w:r>
                    <w:rPr>
                      <w:kern w:val="0"/>
                      <w:szCs w:val="22"/>
                    </w:rPr>
                    <w:t>锅炉</w:t>
                  </w:r>
                </w:p>
              </w:tc>
              <w:tc>
                <w:tcPr>
                  <w:tcW w:w="5908" w:type="dxa"/>
                  <w:vAlign w:val="center"/>
                </w:tcPr>
                <w:p>
                  <w:pPr>
                    <w:widowControl/>
                    <w:adjustRightInd w:val="0"/>
                    <w:snapToGrid w:val="0"/>
                    <w:rPr>
                      <w:kern w:val="0"/>
                      <w:szCs w:val="22"/>
                    </w:rPr>
                  </w:pPr>
                  <w:r>
                    <w:rPr>
                      <w:kern w:val="0"/>
                      <w:szCs w:val="22"/>
                    </w:rPr>
                    <w:t>1台</w:t>
                  </w:r>
                  <w:r>
                    <w:rPr>
                      <w:rFonts w:hint="eastAsia"/>
                      <w:kern w:val="0"/>
                      <w:szCs w:val="22"/>
                    </w:rPr>
                    <w:t>4</w:t>
                  </w:r>
                  <w:r>
                    <w:rPr>
                      <w:kern w:val="0"/>
                      <w:szCs w:val="22"/>
                    </w:rPr>
                    <w:t>t/h天然气锅炉</w:t>
                  </w:r>
                  <w:r>
                    <w:rPr>
                      <w:rFonts w:hint="eastAsia"/>
                      <w:kern w:val="0"/>
                      <w:szCs w:val="22"/>
                    </w:rPr>
                    <w:t>，</w:t>
                  </w:r>
                  <w:r>
                    <w:rPr>
                      <w:kern w:val="0"/>
                      <w:szCs w:val="22"/>
                    </w:rPr>
                    <w:t>锅炉型号WNS4-1.25-Y(Q)</w:t>
                  </w:r>
                </w:p>
              </w:tc>
              <w:tc>
                <w:tcPr>
                  <w:tcW w:w="810" w:type="dxa"/>
                  <w:vAlign w:val="center"/>
                </w:tcPr>
                <w:p>
                  <w:pPr>
                    <w:widowControl/>
                    <w:adjustRightInd w:val="0"/>
                    <w:snapToGrid w:val="0"/>
                    <w:jc w:val="center"/>
                    <w:rPr>
                      <w:kern w:val="0"/>
                      <w:szCs w:val="22"/>
                    </w:rPr>
                  </w:pPr>
                  <w:r>
                    <w:rPr>
                      <w:kern w:val="0"/>
                      <w:szCs w:val="22"/>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851" w:type="dxa"/>
                  <w:vMerge w:val="restart"/>
                  <w:vAlign w:val="center"/>
                </w:tcPr>
                <w:p>
                  <w:pPr>
                    <w:widowControl/>
                    <w:adjustRightInd w:val="0"/>
                    <w:snapToGrid w:val="0"/>
                    <w:jc w:val="center"/>
                    <w:rPr>
                      <w:kern w:val="0"/>
                      <w:szCs w:val="22"/>
                    </w:rPr>
                  </w:pPr>
                  <w:r>
                    <w:rPr>
                      <w:kern w:val="0"/>
                      <w:szCs w:val="22"/>
                    </w:rPr>
                    <w:t>辅助</w:t>
                  </w:r>
                </w:p>
                <w:p>
                  <w:pPr>
                    <w:widowControl/>
                    <w:adjustRightInd w:val="0"/>
                    <w:snapToGrid w:val="0"/>
                    <w:jc w:val="center"/>
                    <w:rPr>
                      <w:kern w:val="0"/>
                      <w:szCs w:val="22"/>
                    </w:rPr>
                  </w:pPr>
                  <w:r>
                    <w:rPr>
                      <w:kern w:val="0"/>
                      <w:szCs w:val="22"/>
                    </w:rPr>
                    <w:t>工程</w:t>
                  </w:r>
                </w:p>
              </w:tc>
              <w:tc>
                <w:tcPr>
                  <w:tcW w:w="1220" w:type="dxa"/>
                  <w:vAlign w:val="center"/>
                </w:tcPr>
                <w:p>
                  <w:pPr>
                    <w:widowControl/>
                    <w:adjustRightInd w:val="0"/>
                    <w:snapToGrid w:val="0"/>
                    <w:jc w:val="center"/>
                    <w:rPr>
                      <w:kern w:val="0"/>
                      <w:szCs w:val="22"/>
                    </w:rPr>
                  </w:pPr>
                  <w:r>
                    <w:rPr>
                      <w:kern w:val="0"/>
                      <w:szCs w:val="22"/>
                    </w:rPr>
                    <w:t>软水系统</w:t>
                  </w:r>
                </w:p>
              </w:tc>
              <w:tc>
                <w:tcPr>
                  <w:tcW w:w="5908" w:type="dxa"/>
                  <w:vAlign w:val="center"/>
                </w:tcPr>
                <w:p>
                  <w:pPr>
                    <w:widowControl/>
                    <w:adjustRightInd w:val="0"/>
                    <w:snapToGrid w:val="0"/>
                    <w:jc w:val="center"/>
                    <w:rPr>
                      <w:kern w:val="0"/>
                      <w:szCs w:val="22"/>
                    </w:rPr>
                  </w:pPr>
                  <w:r>
                    <w:rPr>
                      <w:rFonts w:hint="eastAsia"/>
                      <w:kern w:val="0"/>
                      <w:szCs w:val="22"/>
                    </w:rPr>
                    <w:t>主要包括除污器、软水器、水箱、补水泵等软水制备装置</w:t>
                  </w:r>
                </w:p>
              </w:tc>
              <w:tc>
                <w:tcPr>
                  <w:tcW w:w="810" w:type="dxa"/>
                  <w:vMerge w:val="restart"/>
                  <w:vAlign w:val="center"/>
                </w:tcPr>
                <w:p>
                  <w:pPr>
                    <w:widowControl/>
                    <w:adjustRightInd w:val="0"/>
                    <w:snapToGrid w:val="0"/>
                    <w:jc w:val="center"/>
                    <w:rPr>
                      <w:kern w:val="0"/>
                      <w:szCs w:val="22"/>
                    </w:rPr>
                  </w:pPr>
                  <w:r>
                    <w:rPr>
                      <w:kern w:val="0"/>
                      <w:szCs w:val="22"/>
                    </w:rPr>
                    <w:t>利用</w:t>
                  </w:r>
                </w:p>
                <w:p>
                  <w:pPr>
                    <w:widowControl/>
                    <w:adjustRightInd w:val="0"/>
                    <w:snapToGrid w:val="0"/>
                    <w:jc w:val="center"/>
                    <w:rPr>
                      <w:kern w:val="0"/>
                      <w:szCs w:val="22"/>
                    </w:rPr>
                  </w:pPr>
                  <w:r>
                    <w:rPr>
                      <w:kern w:val="0"/>
                      <w:szCs w:val="22"/>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widowControl/>
                    <w:adjustRightInd w:val="0"/>
                    <w:snapToGrid w:val="0"/>
                    <w:jc w:val="center"/>
                    <w:rPr>
                      <w:kern w:val="0"/>
                      <w:szCs w:val="22"/>
                    </w:rPr>
                  </w:pPr>
                </w:p>
              </w:tc>
              <w:tc>
                <w:tcPr>
                  <w:tcW w:w="1220" w:type="dxa"/>
                  <w:vAlign w:val="center"/>
                </w:tcPr>
                <w:p>
                  <w:pPr>
                    <w:widowControl/>
                    <w:adjustRightInd w:val="0"/>
                    <w:snapToGrid w:val="0"/>
                    <w:jc w:val="center"/>
                    <w:rPr>
                      <w:kern w:val="0"/>
                      <w:szCs w:val="22"/>
                    </w:rPr>
                  </w:pPr>
                  <w:r>
                    <w:rPr>
                      <w:kern w:val="0"/>
                      <w:szCs w:val="22"/>
                    </w:rPr>
                    <w:t>管网系统</w:t>
                  </w:r>
                </w:p>
              </w:tc>
              <w:tc>
                <w:tcPr>
                  <w:tcW w:w="5908" w:type="dxa"/>
                  <w:vAlign w:val="center"/>
                </w:tcPr>
                <w:p>
                  <w:pPr>
                    <w:widowControl/>
                    <w:adjustRightInd w:val="0"/>
                    <w:snapToGrid w:val="0"/>
                    <w:jc w:val="center"/>
                    <w:rPr>
                      <w:kern w:val="0"/>
                      <w:szCs w:val="22"/>
                    </w:rPr>
                  </w:pPr>
                  <w:r>
                    <w:rPr>
                      <w:rFonts w:hint="eastAsia"/>
                      <w:kern w:val="0"/>
                      <w:szCs w:val="22"/>
                    </w:rPr>
                    <w:t>热水管网</w:t>
                  </w:r>
                </w:p>
              </w:tc>
              <w:tc>
                <w:tcPr>
                  <w:tcW w:w="810" w:type="dxa"/>
                  <w:vMerge w:val="continue"/>
                  <w:vAlign w:val="center"/>
                </w:tcPr>
                <w:p>
                  <w:pPr>
                    <w:widowControl/>
                    <w:adjustRightInd w:val="0"/>
                    <w:snapToGrid w:val="0"/>
                    <w:jc w:val="center"/>
                    <w:rPr>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restart"/>
                  <w:vAlign w:val="center"/>
                </w:tcPr>
                <w:p>
                  <w:pPr>
                    <w:widowControl/>
                    <w:adjustRightInd w:val="0"/>
                    <w:snapToGrid w:val="0"/>
                    <w:jc w:val="center"/>
                    <w:rPr>
                      <w:kern w:val="0"/>
                      <w:szCs w:val="22"/>
                    </w:rPr>
                  </w:pPr>
                  <w:r>
                    <w:rPr>
                      <w:kern w:val="0"/>
                      <w:szCs w:val="22"/>
                    </w:rPr>
                    <w:t>公用</w:t>
                  </w:r>
                </w:p>
                <w:p>
                  <w:pPr>
                    <w:widowControl/>
                    <w:adjustRightInd w:val="0"/>
                    <w:snapToGrid w:val="0"/>
                    <w:jc w:val="center"/>
                    <w:rPr>
                      <w:kern w:val="0"/>
                      <w:szCs w:val="22"/>
                    </w:rPr>
                  </w:pPr>
                  <w:r>
                    <w:rPr>
                      <w:kern w:val="0"/>
                      <w:szCs w:val="22"/>
                    </w:rPr>
                    <w:t>工程</w:t>
                  </w:r>
                </w:p>
              </w:tc>
              <w:tc>
                <w:tcPr>
                  <w:tcW w:w="1220" w:type="dxa"/>
                  <w:vAlign w:val="center"/>
                </w:tcPr>
                <w:p>
                  <w:pPr>
                    <w:widowControl/>
                    <w:adjustRightInd w:val="0"/>
                    <w:snapToGrid w:val="0"/>
                    <w:jc w:val="center"/>
                    <w:rPr>
                      <w:kern w:val="0"/>
                      <w:szCs w:val="22"/>
                    </w:rPr>
                  </w:pPr>
                  <w:r>
                    <w:rPr>
                      <w:kern w:val="0"/>
                      <w:szCs w:val="22"/>
                    </w:rPr>
                    <w:t>供水</w:t>
                  </w:r>
                </w:p>
              </w:tc>
              <w:tc>
                <w:tcPr>
                  <w:tcW w:w="5908" w:type="dxa"/>
                  <w:vAlign w:val="center"/>
                </w:tcPr>
                <w:p>
                  <w:pPr>
                    <w:widowControl/>
                    <w:adjustRightInd w:val="0"/>
                    <w:snapToGrid w:val="0"/>
                    <w:jc w:val="center"/>
                    <w:rPr>
                      <w:kern w:val="0"/>
                    </w:rPr>
                  </w:pPr>
                  <w:r>
                    <w:rPr>
                      <w:rFonts w:hint="eastAsia"/>
                      <w:kern w:val="0"/>
                    </w:rPr>
                    <w:t>自来水公司供水</w:t>
                  </w:r>
                </w:p>
              </w:tc>
              <w:tc>
                <w:tcPr>
                  <w:tcW w:w="810" w:type="dxa"/>
                  <w:vMerge w:val="restart"/>
                  <w:vAlign w:val="center"/>
                </w:tcPr>
                <w:p>
                  <w:pPr>
                    <w:widowControl/>
                    <w:adjustRightInd w:val="0"/>
                    <w:snapToGrid w:val="0"/>
                    <w:jc w:val="center"/>
                    <w:rPr>
                      <w:kern w:val="0"/>
                      <w:szCs w:val="22"/>
                    </w:rPr>
                  </w:pPr>
                  <w:r>
                    <w:rPr>
                      <w:kern w:val="0"/>
                      <w:szCs w:val="22"/>
                    </w:rPr>
                    <w:t>利用</w:t>
                  </w:r>
                </w:p>
                <w:p>
                  <w:pPr>
                    <w:widowControl/>
                    <w:adjustRightInd w:val="0"/>
                    <w:snapToGrid w:val="0"/>
                    <w:jc w:val="center"/>
                    <w:rPr>
                      <w:kern w:val="0"/>
                      <w:szCs w:val="22"/>
                    </w:rPr>
                  </w:pPr>
                  <w:r>
                    <w:rPr>
                      <w:kern w:val="0"/>
                      <w:szCs w:val="22"/>
                    </w:rPr>
                    <w:t>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widowControl/>
                    <w:adjustRightInd w:val="0"/>
                    <w:snapToGrid w:val="0"/>
                    <w:jc w:val="center"/>
                    <w:rPr>
                      <w:kern w:val="0"/>
                      <w:szCs w:val="22"/>
                    </w:rPr>
                  </w:pPr>
                </w:p>
              </w:tc>
              <w:tc>
                <w:tcPr>
                  <w:tcW w:w="1220" w:type="dxa"/>
                  <w:vAlign w:val="center"/>
                </w:tcPr>
                <w:p>
                  <w:pPr>
                    <w:widowControl/>
                    <w:adjustRightInd w:val="0"/>
                    <w:snapToGrid w:val="0"/>
                    <w:jc w:val="center"/>
                    <w:rPr>
                      <w:kern w:val="0"/>
                      <w:szCs w:val="22"/>
                    </w:rPr>
                  </w:pPr>
                  <w:r>
                    <w:rPr>
                      <w:kern w:val="0"/>
                      <w:szCs w:val="22"/>
                    </w:rPr>
                    <w:t>供电</w:t>
                  </w:r>
                </w:p>
              </w:tc>
              <w:tc>
                <w:tcPr>
                  <w:tcW w:w="5908" w:type="dxa"/>
                  <w:vAlign w:val="center"/>
                </w:tcPr>
                <w:p>
                  <w:pPr>
                    <w:widowControl/>
                    <w:adjustRightInd w:val="0"/>
                    <w:snapToGrid w:val="0"/>
                    <w:jc w:val="center"/>
                    <w:rPr>
                      <w:kern w:val="0"/>
                    </w:rPr>
                  </w:pPr>
                  <w:r>
                    <w:rPr>
                      <w:rFonts w:hint="eastAsia"/>
                      <w:kern w:val="0"/>
                    </w:rPr>
                    <w:t>依托厂区现有供电设施</w:t>
                  </w:r>
                </w:p>
              </w:tc>
              <w:tc>
                <w:tcPr>
                  <w:tcW w:w="810" w:type="dxa"/>
                  <w:vMerge w:val="continue"/>
                  <w:vAlign w:val="center"/>
                </w:tcPr>
                <w:p>
                  <w:pPr>
                    <w:widowControl/>
                    <w:adjustRightInd w:val="0"/>
                    <w:snapToGrid w:val="0"/>
                    <w:jc w:val="center"/>
                    <w:rPr>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851" w:type="dxa"/>
                  <w:vMerge w:val="continue"/>
                  <w:vAlign w:val="center"/>
                </w:tcPr>
                <w:p>
                  <w:pPr>
                    <w:widowControl/>
                    <w:adjustRightInd w:val="0"/>
                    <w:snapToGrid w:val="0"/>
                    <w:jc w:val="center"/>
                    <w:rPr>
                      <w:kern w:val="0"/>
                      <w:szCs w:val="22"/>
                    </w:rPr>
                  </w:pPr>
                </w:p>
              </w:tc>
              <w:tc>
                <w:tcPr>
                  <w:tcW w:w="1220" w:type="dxa"/>
                  <w:vAlign w:val="center"/>
                </w:tcPr>
                <w:p>
                  <w:pPr>
                    <w:widowControl/>
                    <w:adjustRightInd w:val="0"/>
                    <w:snapToGrid w:val="0"/>
                    <w:jc w:val="center"/>
                    <w:rPr>
                      <w:kern w:val="0"/>
                      <w:szCs w:val="22"/>
                    </w:rPr>
                  </w:pPr>
                  <w:r>
                    <w:rPr>
                      <w:kern w:val="0"/>
                      <w:szCs w:val="22"/>
                    </w:rPr>
                    <w:t>供气</w:t>
                  </w:r>
                </w:p>
              </w:tc>
              <w:tc>
                <w:tcPr>
                  <w:tcW w:w="5908" w:type="dxa"/>
                  <w:vAlign w:val="center"/>
                </w:tcPr>
                <w:p>
                  <w:pPr>
                    <w:widowControl/>
                    <w:adjustRightInd w:val="0"/>
                    <w:snapToGrid w:val="0"/>
                    <w:jc w:val="center"/>
                    <w:rPr>
                      <w:kern w:val="0"/>
                    </w:rPr>
                  </w:pPr>
                  <w:r>
                    <w:rPr>
                      <w:rFonts w:hint="eastAsia"/>
                      <w:kern w:val="0"/>
                    </w:rPr>
                    <w:t>天然气公司供气</w:t>
                  </w:r>
                </w:p>
              </w:tc>
              <w:tc>
                <w:tcPr>
                  <w:tcW w:w="810" w:type="dxa"/>
                  <w:vMerge w:val="continue"/>
                  <w:vAlign w:val="center"/>
                </w:tcPr>
                <w:p>
                  <w:pPr>
                    <w:widowControl/>
                    <w:adjustRightInd w:val="0"/>
                    <w:snapToGrid w:val="0"/>
                    <w:jc w:val="center"/>
                    <w:rPr>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trPr>
              <w:tc>
                <w:tcPr>
                  <w:tcW w:w="851" w:type="dxa"/>
                  <w:vMerge w:val="restart"/>
                  <w:vAlign w:val="center"/>
                </w:tcPr>
                <w:p>
                  <w:pPr>
                    <w:widowControl/>
                    <w:adjustRightInd w:val="0"/>
                    <w:snapToGrid w:val="0"/>
                    <w:jc w:val="center"/>
                    <w:rPr>
                      <w:kern w:val="0"/>
                      <w:szCs w:val="22"/>
                    </w:rPr>
                  </w:pPr>
                  <w:r>
                    <w:rPr>
                      <w:kern w:val="0"/>
                      <w:szCs w:val="22"/>
                    </w:rPr>
                    <w:t>环保</w:t>
                  </w:r>
                </w:p>
                <w:p>
                  <w:pPr>
                    <w:widowControl/>
                    <w:adjustRightInd w:val="0"/>
                    <w:snapToGrid w:val="0"/>
                    <w:jc w:val="center"/>
                    <w:rPr>
                      <w:kern w:val="0"/>
                      <w:szCs w:val="22"/>
                    </w:rPr>
                  </w:pPr>
                  <w:r>
                    <w:rPr>
                      <w:kern w:val="0"/>
                      <w:szCs w:val="22"/>
                    </w:rPr>
                    <w:t>工程</w:t>
                  </w:r>
                </w:p>
              </w:tc>
              <w:tc>
                <w:tcPr>
                  <w:tcW w:w="1220" w:type="dxa"/>
                  <w:vMerge w:val="restart"/>
                  <w:vAlign w:val="center"/>
                </w:tcPr>
                <w:p>
                  <w:pPr>
                    <w:widowControl/>
                    <w:adjustRightInd w:val="0"/>
                    <w:snapToGrid w:val="0"/>
                    <w:jc w:val="center"/>
                    <w:rPr>
                      <w:kern w:val="0"/>
                      <w:szCs w:val="22"/>
                    </w:rPr>
                  </w:pPr>
                  <w:r>
                    <w:rPr>
                      <w:kern w:val="0"/>
                      <w:szCs w:val="22"/>
                    </w:rPr>
                    <w:t>废气</w:t>
                  </w:r>
                </w:p>
              </w:tc>
              <w:tc>
                <w:tcPr>
                  <w:tcW w:w="5908" w:type="dxa"/>
                  <w:vAlign w:val="center"/>
                </w:tcPr>
                <w:p>
                  <w:pPr>
                    <w:widowControl/>
                    <w:adjustRightInd w:val="0"/>
                    <w:snapToGrid w:val="0"/>
                    <w:jc w:val="left"/>
                    <w:rPr>
                      <w:kern w:val="0"/>
                      <w:szCs w:val="22"/>
                    </w:rPr>
                  </w:pPr>
                  <w:r>
                    <w:rPr>
                      <w:rFonts w:hint="eastAsia"/>
                      <w:kern w:val="0"/>
                      <w:szCs w:val="22"/>
                    </w:rPr>
                    <w:t>锅炉烟气主要为氮氧化物、二氧化硫、烟尘。项目采用燃气锅炉减少了污染物排放，采用低氮燃烧器降低氮氧化物的排放。</w:t>
                  </w:r>
                </w:p>
              </w:tc>
              <w:tc>
                <w:tcPr>
                  <w:tcW w:w="810" w:type="dxa"/>
                  <w:vAlign w:val="center"/>
                </w:tcPr>
                <w:p>
                  <w:pPr>
                    <w:widowControl/>
                    <w:adjustRightInd w:val="0"/>
                    <w:snapToGrid w:val="0"/>
                    <w:jc w:val="center"/>
                    <w:rPr>
                      <w:kern w:val="0"/>
                      <w:szCs w:val="22"/>
                    </w:rPr>
                  </w:pPr>
                  <w:r>
                    <w:rPr>
                      <w:kern w:val="0"/>
                      <w:szCs w:val="22"/>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widowControl/>
                    <w:adjustRightInd w:val="0"/>
                    <w:snapToGrid w:val="0"/>
                    <w:jc w:val="center"/>
                    <w:rPr>
                      <w:kern w:val="0"/>
                      <w:szCs w:val="22"/>
                    </w:rPr>
                  </w:pPr>
                </w:p>
              </w:tc>
              <w:tc>
                <w:tcPr>
                  <w:tcW w:w="1220" w:type="dxa"/>
                  <w:vMerge w:val="continue"/>
                  <w:vAlign w:val="center"/>
                </w:tcPr>
                <w:p>
                  <w:pPr>
                    <w:widowControl/>
                    <w:adjustRightInd w:val="0"/>
                    <w:snapToGrid w:val="0"/>
                    <w:jc w:val="center"/>
                    <w:rPr>
                      <w:kern w:val="0"/>
                      <w:szCs w:val="22"/>
                    </w:rPr>
                  </w:pPr>
                </w:p>
              </w:tc>
              <w:tc>
                <w:tcPr>
                  <w:tcW w:w="5908" w:type="dxa"/>
                  <w:vAlign w:val="center"/>
                </w:tcPr>
                <w:p>
                  <w:pPr>
                    <w:widowControl/>
                    <w:adjustRightInd w:val="0"/>
                    <w:snapToGrid w:val="0"/>
                    <w:jc w:val="center"/>
                    <w:rPr>
                      <w:kern w:val="0"/>
                      <w:szCs w:val="22"/>
                    </w:rPr>
                  </w:pPr>
                  <w:r>
                    <w:rPr>
                      <w:rFonts w:hint="eastAsia"/>
                      <w:kern w:val="0"/>
                      <w:szCs w:val="22"/>
                    </w:rPr>
                    <w:t>锅炉烟气经1根12m排气筒排放</w:t>
                  </w:r>
                </w:p>
              </w:tc>
              <w:tc>
                <w:tcPr>
                  <w:tcW w:w="810" w:type="dxa"/>
                  <w:vAlign w:val="center"/>
                </w:tcPr>
                <w:p>
                  <w:pPr>
                    <w:widowControl/>
                    <w:adjustRightInd w:val="0"/>
                    <w:snapToGrid w:val="0"/>
                    <w:jc w:val="center"/>
                    <w:rPr>
                      <w:kern w:val="0"/>
                      <w:szCs w:val="22"/>
                    </w:rPr>
                  </w:pPr>
                  <w:r>
                    <w:rPr>
                      <w:rFonts w:hint="eastAsia"/>
                      <w:kern w:val="0"/>
                      <w:szCs w:val="22"/>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widowControl/>
                    <w:adjustRightInd w:val="0"/>
                    <w:snapToGrid w:val="0"/>
                    <w:jc w:val="center"/>
                    <w:rPr>
                      <w:kern w:val="0"/>
                      <w:szCs w:val="22"/>
                    </w:rPr>
                  </w:pPr>
                </w:p>
              </w:tc>
              <w:tc>
                <w:tcPr>
                  <w:tcW w:w="1220" w:type="dxa"/>
                  <w:vAlign w:val="center"/>
                </w:tcPr>
                <w:p>
                  <w:pPr>
                    <w:widowControl/>
                    <w:adjustRightInd w:val="0"/>
                    <w:snapToGrid w:val="0"/>
                    <w:jc w:val="center"/>
                    <w:rPr>
                      <w:kern w:val="0"/>
                      <w:szCs w:val="22"/>
                    </w:rPr>
                  </w:pPr>
                  <w:r>
                    <w:rPr>
                      <w:kern w:val="0"/>
                      <w:szCs w:val="22"/>
                    </w:rPr>
                    <w:t>废水</w:t>
                  </w:r>
                </w:p>
              </w:tc>
              <w:tc>
                <w:tcPr>
                  <w:tcW w:w="5908" w:type="dxa"/>
                  <w:vAlign w:val="center"/>
                </w:tcPr>
                <w:p>
                  <w:pPr>
                    <w:widowControl/>
                    <w:adjustRightInd w:val="0"/>
                    <w:snapToGrid w:val="0"/>
                    <w:jc w:val="center"/>
                    <w:rPr>
                      <w:kern w:val="0"/>
                      <w:szCs w:val="22"/>
                    </w:rPr>
                  </w:pPr>
                  <w:r>
                    <w:rPr>
                      <w:rFonts w:hint="eastAsia"/>
                      <w:kern w:val="0"/>
                      <w:szCs w:val="22"/>
                    </w:rPr>
                    <w:t>软化废水与锅炉排水，直接排入市政污水管网</w:t>
                  </w:r>
                </w:p>
              </w:tc>
              <w:tc>
                <w:tcPr>
                  <w:tcW w:w="810" w:type="dxa"/>
                  <w:vAlign w:val="center"/>
                </w:tcPr>
                <w:p>
                  <w:pPr>
                    <w:widowControl/>
                    <w:adjustRightInd w:val="0"/>
                    <w:snapToGrid w:val="0"/>
                    <w:jc w:val="center"/>
                    <w:rPr>
                      <w:kern w:val="0"/>
                      <w:szCs w:val="22"/>
                    </w:rPr>
                  </w:pPr>
                  <w:r>
                    <w:rPr>
                      <w:rFonts w:hint="eastAsia"/>
                      <w:kern w:val="0"/>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widowControl/>
                    <w:adjustRightInd w:val="0"/>
                    <w:snapToGrid w:val="0"/>
                    <w:jc w:val="center"/>
                    <w:rPr>
                      <w:kern w:val="0"/>
                      <w:szCs w:val="22"/>
                    </w:rPr>
                  </w:pPr>
                </w:p>
              </w:tc>
              <w:tc>
                <w:tcPr>
                  <w:tcW w:w="1220" w:type="dxa"/>
                  <w:vAlign w:val="center"/>
                </w:tcPr>
                <w:p>
                  <w:pPr>
                    <w:widowControl/>
                    <w:adjustRightInd w:val="0"/>
                    <w:snapToGrid w:val="0"/>
                    <w:jc w:val="center"/>
                    <w:rPr>
                      <w:kern w:val="0"/>
                      <w:szCs w:val="22"/>
                    </w:rPr>
                  </w:pPr>
                  <w:r>
                    <w:rPr>
                      <w:kern w:val="0"/>
                      <w:szCs w:val="22"/>
                    </w:rPr>
                    <w:t>固废</w:t>
                  </w:r>
                </w:p>
              </w:tc>
              <w:tc>
                <w:tcPr>
                  <w:tcW w:w="5908" w:type="dxa"/>
                  <w:vAlign w:val="center"/>
                </w:tcPr>
                <w:p>
                  <w:pPr>
                    <w:widowControl/>
                    <w:adjustRightInd w:val="0"/>
                    <w:snapToGrid w:val="0"/>
                    <w:jc w:val="left"/>
                    <w:rPr>
                      <w:kern w:val="0"/>
                      <w:szCs w:val="22"/>
                    </w:rPr>
                  </w:pPr>
                  <w:r>
                    <w:rPr>
                      <w:rFonts w:hint="eastAsia"/>
                      <w:kern w:val="0"/>
                      <w:szCs w:val="22"/>
                    </w:rPr>
                    <w:t>软化水过程中产生的废离子交换树脂，属于危废，交有资质的单位处理</w:t>
                  </w:r>
                </w:p>
              </w:tc>
              <w:tc>
                <w:tcPr>
                  <w:tcW w:w="810" w:type="dxa"/>
                  <w:vAlign w:val="center"/>
                </w:tcPr>
                <w:p>
                  <w:pPr>
                    <w:widowControl/>
                    <w:adjustRightInd w:val="0"/>
                    <w:snapToGrid w:val="0"/>
                    <w:jc w:val="center"/>
                    <w:rPr>
                      <w:kern w:val="0"/>
                      <w:szCs w:val="22"/>
                    </w:rPr>
                  </w:pPr>
                  <w:r>
                    <w:rPr>
                      <w:rFonts w:hint="eastAsia"/>
                      <w:kern w:val="0"/>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51" w:type="dxa"/>
                  <w:vMerge w:val="continue"/>
                  <w:vAlign w:val="center"/>
                </w:tcPr>
                <w:p>
                  <w:pPr>
                    <w:widowControl/>
                    <w:adjustRightInd w:val="0"/>
                    <w:snapToGrid w:val="0"/>
                    <w:jc w:val="center"/>
                    <w:rPr>
                      <w:kern w:val="0"/>
                      <w:szCs w:val="22"/>
                    </w:rPr>
                  </w:pPr>
                </w:p>
              </w:tc>
              <w:tc>
                <w:tcPr>
                  <w:tcW w:w="1220" w:type="dxa"/>
                  <w:vAlign w:val="center"/>
                </w:tcPr>
                <w:p>
                  <w:pPr>
                    <w:widowControl/>
                    <w:adjustRightInd w:val="0"/>
                    <w:snapToGrid w:val="0"/>
                    <w:jc w:val="center"/>
                    <w:rPr>
                      <w:kern w:val="0"/>
                      <w:szCs w:val="22"/>
                    </w:rPr>
                  </w:pPr>
                  <w:r>
                    <w:rPr>
                      <w:kern w:val="0"/>
                      <w:szCs w:val="22"/>
                    </w:rPr>
                    <w:t>噪声</w:t>
                  </w:r>
                </w:p>
              </w:tc>
              <w:tc>
                <w:tcPr>
                  <w:tcW w:w="5908" w:type="dxa"/>
                  <w:vAlign w:val="center"/>
                </w:tcPr>
                <w:p>
                  <w:pPr>
                    <w:widowControl/>
                    <w:adjustRightInd w:val="0"/>
                    <w:snapToGrid w:val="0"/>
                    <w:jc w:val="center"/>
                    <w:rPr>
                      <w:kern w:val="0"/>
                      <w:szCs w:val="22"/>
                    </w:rPr>
                  </w:pPr>
                  <w:r>
                    <w:rPr>
                      <w:rFonts w:hint="eastAsia"/>
                      <w:kern w:val="0"/>
                      <w:szCs w:val="22"/>
                    </w:rPr>
                    <w:t>项目选用低噪声设备、采取基础减振、置于密闭厂房等措施</w:t>
                  </w:r>
                </w:p>
              </w:tc>
              <w:tc>
                <w:tcPr>
                  <w:tcW w:w="810" w:type="dxa"/>
                  <w:vAlign w:val="center"/>
                </w:tcPr>
                <w:p>
                  <w:pPr>
                    <w:widowControl/>
                    <w:adjustRightInd w:val="0"/>
                    <w:snapToGrid w:val="0"/>
                    <w:jc w:val="center"/>
                    <w:rPr>
                      <w:kern w:val="0"/>
                      <w:szCs w:val="22"/>
                    </w:rPr>
                  </w:pPr>
                  <w:r>
                    <w:rPr>
                      <w:rFonts w:hint="eastAsia"/>
                      <w:kern w:val="0"/>
                      <w:szCs w:val="22"/>
                    </w:rPr>
                    <w:t>/</w:t>
                  </w:r>
                </w:p>
              </w:tc>
            </w:tr>
            <w:bookmarkEnd w:id="9"/>
            <w:bookmarkEnd w:id="10"/>
          </w:tbl>
          <w:p>
            <w:pPr>
              <w:adjustRightInd w:val="0"/>
              <w:snapToGrid w:val="0"/>
              <w:spacing w:line="360" w:lineRule="auto"/>
              <w:ind w:firstLine="482" w:firstLineChars="200"/>
              <w:rPr>
                <w:b/>
                <w:sz w:val="24"/>
              </w:rPr>
            </w:pPr>
            <w:r>
              <w:rPr>
                <w:b/>
                <w:sz w:val="24"/>
              </w:rPr>
              <w:t>3、</w:t>
            </w:r>
            <w:r>
              <w:rPr>
                <w:rFonts w:hint="eastAsia"/>
                <w:b/>
                <w:sz w:val="24"/>
              </w:rPr>
              <w:t>原辅材料和产品方案</w:t>
            </w:r>
          </w:p>
          <w:p>
            <w:pPr>
              <w:adjustRightInd w:val="0"/>
              <w:snapToGrid w:val="0"/>
              <w:spacing w:line="360" w:lineRule="auto"/>
              <w:ind w:firstLine="480" w:firstLineChars="200"/>
              <w:rPr>
                <w:sz w:val="24"/>
              </w:rPr>
            </w:pPr>
            <w:r>
              <w:rPr>
                <w:rFonts w:hint="eastAsia"/>
                <w:sz w:val="24"/>
              </w:rPr>
              <w:t>本项目</w:t>
            </w:r>
            <w:r>
              <w:rPr>
                <w:sz w:val="24"/>
              </w:rPr>
              <w:t>主要原辅材料见表</w:t>
            </w:r>
            <w:r>
              <w:rPr>
                <w:rFonts w:hint="eastAsia"/>
                <w:sz w:val="24"/>
              </w:rPr>
              <w:t>3。</w:t>
            </w:r>
          </w:p>
          <w:p>
            <w:pPr>
              <w:spacing w:line="360" w:lineRule="auto"/>
              <w:jc w:val="center"/>
              <w:outlineLvl w:val="4"/>
              <w:rPr>
                <w:rFonts w:eastAsia="黑体"/>
                <w:sz w:val="24"/>
                <w:szCs w:val="21"/>
              </w:rPr>
            </w:pPr>
            <w:bookmarkStart w:id="11" w:name="_Hlk3908510"/>
            <w:r>
              <w:rPr>
                <w:rFonts w:eastAsia="黑体"/>
                <w:sz w:val="24"/>
                <w:szCs w:val="21"/>
              </w:rPr>
              <w:t>表</w:t>
            </w:r>
            <w:r>
              <w:rPr>
                <w:rFonts w:hint="eastAsia" w:eastAsia="黑体"/>
                <w:sz w:val="24"/>
                <w:szCs w:val="21"/>
              </w:rPr>
              <w:t>3</w:t>
            </w:r>
            <w:r>
              <w:rPr>
                <w:rFonts w:eastAsia="黑体"/>
                <w:sz w:val="24"/>
                <w:szCs w:val="21"/>
              </w:rPr>
              <w:t xml:space="preserve"> </w:t>
            </w:r>
            <w:r>
              <w:rPr>
                <w:rFonts w:hint="eastAsia" w:eastAsia="黑体"/>
                <w:sz w:val="24"/>
                <w:szCs w:val="21"/>
              </w:rPr>
              <w:t>项目主要</w:t>
            </w:r>
            <w:r>
              <w:rPr>
                <w:rFonts w:eastAsia="黑体"/>
                <w:sz w:val="24"/>
                <w:szCs w:val="21"/>
              </w:rPr>
              <w:t>原辅材料消耗一览表</w:t>
            </w:r>
          </w:p>
          <w:bookmarkEnd w:id="11"/>
          <w:tbl>
            <w:tblPr>
              <w:tblStyle w:val="25"/>
              <w:tblW w:w="777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89"/>
              <w:gridCol w:w="1842"/>
              <w:gridCol w:w="1276"/>
              <w:gridCol w:w="2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5" w:type="dxa"/>
                  <w:vAlign w:val="center"/>
                </w:tcPr>
                <w:p>
                  <w:pPr>
                    <w:widowControl/>
                    <w:jc w:val="center"/>
                    <w:rPr>
                      <w:kern w:val="0"/>
                      <w:szCs w:val="22"/>
                    </w:rPr>
                  </w:pPr>
                  <w:bookmarkStart w:id="12" w:name="_Hlk3908495"/>
                  <w:r>
                    <w:rPr>
                      <w:kern w:val="0"/>
                      <w:szCs w:val="22"/>
                    </w:rPr>
                    <w:t>序号</w:t>
                  </w:r>
                </w:p>
              </w:tc>
              <w:tc>
                <w:tcPr>
                  <w:tcW w:w="1889" w:type="dxa"/>
                  <w:vAlign w:val="center"/>
                </w:tcPr>
                <w:p>
                  <w:pPr>
                    <w:widowControl/>
                    <w:jc w:val="center"/>
                    <w:rPr>
                      <w:kern w:val="0"/>
                      <w:szCs w:val="22"/>
                    </w:rPr>
                  </w:pPr>
                  <w:r>
                    <w:rPr>
                      <w:kern w:val="0"/>
                      <w:szCs w:val="22"/>
                    </w:rPr>
                    <w:t>原辅材料名称</w:t>
                  </w:r>
                </w:p>
              </w:tc>
              <w:tc>
                <w:tcPr>
                  <w:tcW w:w="1842" w:type="dxa"/>
                  <w:vAlign w:val="center"/>
                </w:tcPr>
                <w:p>
                  <w:pPr>
                    <w:widowControl/>
                    <w:jc w:val="center"/>
                    <w:rPr>
                      <w:kern w:val="0"/>
                      <w:szCs w:val="22"/>
                    </w:rPr>
                  </w:pPr>
                  <w:r>
                    <w:rPr>
                      <w:kern w:val="0"/>
                      <w:szCs w:val="22"/>
                    </w:rPr>
                    <w:t>单位</w:t>
                  </w:r>
                </w:p>
              </w:tc>
              <w:tc>
                <w:tcPr>
                  <w:tcW w:w="1276" w:type="dxa"/>
                  <w:vAlign w:val="center"/>
                </w:tcPr>
                <w:p>
                  <w:pPr>
                    <w:widowControl/>
                    <w:jc w:val="center"/>
                    <w:rPr>
                      <w:kern w:val="0"/>
                      <w:szCs w:val="22"/>
                    </w:rPr>
                  </w:pPr>
                  <w:r>
                    <w:rPr>
                      <w:kern w:val="0"/>
                      <w:szCs w:val="22"/>
                    </w:rPr>
                    <w:t>用量</w:t>
                  </w:r>
                </w:p>
              </w:tc>
              <w:tc>
                <w:tcPr>
                  <w:tcW w:w="2037" w:type="dxa"/>
                  <w:vAlign w:val="center"/>
                </w:tcPr>
                <w:p>
                  <w:pPr>
                    <w:widowControl/>
                    <w:jc w:val="center"/>
                    <w:rPr>
                      <w:kern w:val="0"/>
                      <w:szCs w:val="22"/>
                    </w:rPr>
                  </w:pPr>
                  <w:r>
                    <w:rPr>
                      <w:kern w:val="0"/>
                      <w:szCs w:val="22"/>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735" w:type="dxa"/>
                  <w:vAlign w:val="center"/>
                </w:tcPr>
                <w:p>
                  <w:pPr>
                    <w:widowControl/>
                    <w:jc w:val="center"/>
                    <w:rPr>
                      <w:kern w:val="0"/>
                      <w:szCs w:val="22"/>
                    </w:rPr>
                  </w:pPr>
                  <w:r>
                    <w:rPr>
                      <w:kern w:val="0"/>
                      <w:szCs w:val="22"/>
                    </w:rPr>
                    <w:t>1</w:t>
                  </w:r>
                </w:p>
              </w:tc>
              <w:tc>
                <w:tcPr>
                  <w:tcW w:w="1889" w:type="dxa"/>
                  <w:vAlign w:val="center"/>
                </w:tcPr>
                <w:p>
                  <w:pPr>
                    <w:widowControl/>
                    <w:jc w:val="center"/>
                    <w:rPr>
                      <w:kern w:val="0"/>
                      <w:szCs w:val="22"/>
                    </w:rPr>
                  </w:pPr>
                  <w:r>
                    <w:rPr>
                      <w:rFonts w:hint="eastAsia"/>
                      <w:kern w:val="0"/>
                      <w:szCs w:val="22"/>
                    </w:rPr>
                    <w:t>自来水</w:t>
                  </w:r>
                </w:p>
              </w:tc>
              <w:tc>
                <w:tcPr>
                  <w:tcW w:w="1842" w:type="dxa"/>
                  <w:vAlign w:val="center"/>
                </w:tcPr>
                <w:p>
                  <w:pPr>
                    <w:widowControl/>
                    <w:jc w:val="center"/>
                    <w:rPr>
                      <w:kern w:val="0"/>
                      <w:szCs w:val="22"/>
                    </w:rPr>
                  </w:pPr>
                  <w:r>
                    <w:rPr>
                      <w:kern w:val="0"/>
                      <w:szCs w:val="22"/>
                    </w:rPr>
                    <w:t>t/a</w:t>
                  </w:r>
                </w:p>
              </w:tc>
              <w:tc>
                <w:tcPr>
                  <w:tcW w:w="1276" w:type="dxa"/>
                  <w:vAlign w:val="center"/>
                </w:tcPr>
                <w:p>
                  <w:pPr>
                    <w:widowControl/>
                    <w:jc w:val="center"/>
                    <w:rPr>
                      <w:kern w:val="0"/>
                      <w:szCs w:val="22"/>
                    </w:rPr>
                  </w:pPr>
                  <w:r>
                    <w:rPr>
                      <w:kern w:val="0"/>
                      <w:szCs w:val="22"/>
                    </w:rPr>
                    <w:t>1000</w:t>
                  </w:r>
                </w:p>
              </w:tc>
              <w:tc>
                <w:tcPr>
                  <w:tcW w:w="2037" w:type="dxa"/>
                  <w:vAlign w:val="center"/>
                </w:tcPr>
                <w:p>
                  <w:pPr>
                    <w:widowControl/>
                    <w:jc w:val="center"/>
                    <w:rPr>
                      <w:kern w:val="0"/>
                      <w:szCs w:val="22"/>
                    </w:rPr>
                  </w:pPr>
                  <w:r>
                    <w:rPr>
                      <w:rFonts w:hint="eastAsia"/>
                      <w:kern w:val="0"/>
                      <w:szCs w:val="22"/>
                    </w:rPr>
                    <w:t>自来水公司供水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735" w:type="dxa"/>
                  <w:vAlign w:val="center"/>
                </w:tcPr>
                <w:p>
                  <w:pPr>
                    <w:widowControl/>
                    <w:jc w:val="center"/>
                    <w:rPr>
                      <w:kern w:val="0"/>
                      <w:szCs w:val="22"/>
                    </w:rPr>
                  </w:pPr>
                  <w:r>
                    <w:rPr>
                      <w:kern w:val="0"/>
                      <w:szCs w:val="22"/>
                    </w:rPr>
                    <w:t>2</w:t>
                  </w:r>
                </w:p>
              </w:tc>
              <w:tc>
                <w:tcPr>
                  <w:tcW w:w="1889" w:type="dxa"/>
                  <w:vAlign w:val="center"/>
                </w:tcPr>
                <w:p>
                  <w:pPr>
                    <w:widowControl/>
                    <w:jc w:val="center"/>
                    <w:rPr>
                      <w:kern w:val="0"/>
                      <w:szCs w:val="22"/>
                    </w:rPr>
                  </w:pPr>
                  <w:r>
                    <w:rPr>
                      <w:rFonts w:hint="eastAsia"/>
                      <w:kern w:val="0"/>
                      <w:szCs w:val="22"/>
                    </w:rPr>
                    <w:t>天然气</w:t>
                  </w:r>
                </w:p>
              </w:tc>
              <w:tc>
                <w:tcPr>
                  <w:tcW w:w="1842" w:type="dxa"/>
                  <w:vAlign w:val="center"/>
                </w:tcPr>
                <w:p>
                  <w:pPr>
                    <w:widowControl/>
                    <w:jc w:val="center"/>
                    <w:rPr>
                      <w:kern w:val="0"/>
                      <w:szCs w:val="22"/>
                    </w:rPr>
                  </w:pPr>
                  <w:r>
                    <w:rPr>
                      <w:kern w:val="0"/>
                      <w:szCs w:val="22"/>
                    </w:rPr>
                    <w:t>万m</w:t>
                  </w:r>
                  <w:r>
                    <w:rPr>
                      <w:kern w:val="0"/>
                      <w:szCs w:val="22"/>
                      <w:vertAlign w:val="superscript"/>
                    </w:rPr>
                    <w:t>3</w:t>
                  </w:r>
                  <w:r>
                    <w:rPr>
                      <w:kern w:val="0"/>
                      <w:szCs w:val="22"/>
                    </w:rPr>
                    <w:t>/</w:t>
                  </w:r>
                  <w:r>
                    <w:rPr>
                      <w:rFonts w:hint="eastAsia"/>
                      <w:kern w:val="0"/>
                      <w:szCs w:val="22"/>
                    </w:rPr>
                    <w:t>a</w:t>
                  </w:r>
                </w:p>
              </w:tc>
              <w:tc>
                <w:tcPr>
                  <w:tcW w:w="1276" w:type="dxa"/>
                  <w:vAlign w:val="center"/>
                </w:tcPr>
                <w:p>
                  <w:pPr>
                    <w:widowControl/>
                    <w:jc w:val="center"/>
                    <w:rPr>
                      <w:kern w:val="0"/>
                      <w:szCs w:val="22"/>
                    </w:rPr>
                  </w:pPr>
                  <w:r>
                    <w:rPr>
                      <w:rFonts w:hint="eastAsia"/>
                      <w:kern w:val="0"/>
                    </w:rPr>
                    <w:t>4</w:t>
                  </w:r>
                  <w:r>
                    <w:rPr>
                      <w:kern w:val="0"/>
                    </w:rPr>
                    <w:t>5</w:t>
                  </w:r>
                </w:p>
              </w:tc>
              <w:tc>
                <w:tcPr>
                  <w:tcW w:w="2037" w:type="dxa"/>
                  <w:vAlign w:val="center"/>
                </w:tcPr>
                <w:p>
                  <w:pPr>
                    <w:widowControl/>
                    <w:jc w:val="center"/>
                    <w:rPr>
                      <w:kern w:val="0"/>
                      <w:szCs w:val="22"/>
                    </w:rPr>
                  </w:pPr>
                  <w:r>
                    <w:rPr>
                      <w:rFonts w:hint="eastAsia"/>
                      <w:kern w:val="0"/>
                      <w:szCs w:val="22"/>
                    </w:rPr>
                    <w:t>天然气公司供气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735" w:type="dxa"/>
                  <w:vAlign w:val="center"/>
                </w:tcPr>
                <w:p>
                  <w:pPr>
                    <w:widowControl/>
                    <w:jc w:val="center"/>
                    <w:rPr>
                      <w:kern w:val="0"/>
                      <w:szCs w:val="22"/>
                    </w:rPr>
                  </w:pPr>
                  <w:r>
                    <w:rPr>
                      <w:kern w:val="0"/>
                      <w:szCs w:val="22"/>
                    </w:rPr>
                    <w:t>3</w:t>
                  </w:r>
                </w:p>
              </w:tc>
              <w:tc>
                <w:tcPr>
                  <w:tcW w:w="1889" w:type="dxa"/>
                  <w:vAlign w:val="center"/>
                </w:tcPr>
                <w:p>
                  <w:pPr>
                    <w:widowControl/>
                    <w:jc w:val="center"/>
                    <w:rPr>
                      <w:kern w:val="0"/>
                      <w:szCs w:val="22"/>
                    </w:rPr>
                  </w:pPr>
                  <w:r>
                    <w:rPr>
                      <w:rFonts w:hint="eastAsia"/>
                      <w:kern w:val="0"/>
                      <w:szCs w:val="22"/>
                    </w:rPr>
                    <w:t>电</w:t>
                  </w:r>
                </w:p>
              </w:tc>
              <w:tc>
                <w:tcPr>
                  <w:tcW w:w="1842" w:type="dxa"/>
                  <w:vAlign w:val="center"/>
                </w:tcPr>
                <w:p>
                  <w:pPr>
                    <w:widowControl/>
                    <w:jc w:val="center"/>
                    <w:rPr>
                      <w:kern w:val="0"/>
                      <w:szCs w:val="22"/>
                    </w:rPr>
                  </w:pPr>
                  <w:r>
                    <w:rPr>
                      <w:kern w:val="0"/>
                      <w:szCs w:val="22"/>
                    </w:rPr>
                    <w:t>万K</w:t>
                  </w:r>
                  <w:r>
                    <w:rPr>
                      <w:rFonts w:hint="eastAsia"/>
                      <w:kern w:val="0"/>
                      <w:szCs w:val="22"/>
                    </w:rPr>
                    <w:t>w·</w:t>
                  </w:r>
                  <w:r>
                    <w:rPr>
                      <w:kern w:val="0"/>
                      <w:szCs w:val="22"/>
                    </w:rPr>
                    <w:t>h/a</w:t>
                  </w:r>
                </w:p>
              </w:tc>
              <w:tc>
                <w:tcPr>
                  <w:tcW w:w="1276" w:type="dxa"/>
                  <w:vAlign w:val="center"/>
                </w:tcPr>
                <w:p>
                  <w:pPr>
                    <w:widowControl/>
                    <w:jc w:val="center"/>
                    <w:rPr>
                      <w:kern w:val="0"/>
                      <w:szCs w:val="22"/>
                    </w:rPr>
                  </w:pPr>
                  <w:r>
                    <w:rPr>
                      <w:rFonts w:hint="eastAsia"/>
                      <w:kern w:val="0"/>
                    </w:rPr>
                    <w:t>3.</w:t>
                  </w:r>
                  <w:r>
                    <w:rPr>
                      <w:kern w:val="0"/>
                    </w:rPr>
                    <w:t>5</w:t>
                  </w:r>
                </w:p>
              </w:tc>
              <w:tc>
                <w:tcPr>
                  <w:tcW w:w="2037" w:type="dxa"/>
                  <w:vAlign w:val="center"/>
                </w:tcPr>
                <w:p>
                  <w:pPr>
                    <w:widowControl/>
                    <w:jc w:val="center"/>
                    <w:rPr>
                      <w:kern w:val="0"/>
                      <w:szCs w:val="22"/>
                    </w:rPr>
                  </w:pPr>
                  <w:r>
                    <w:rPr>
                      <w:rFonts w:hint="eastAsia"/>
                      <w:kern w:val="0"/>
                      <w:szCs w:val="22"/>
                    </w:rPr>
                    <w:t>供电局供电</w:t>
                  </w:r>
                </w:p>
              </w:tc>
            </w:tr>
            <w:bookmarkEnd w:id="12"/>
          </w:tbl>
          <w:p>
            <w:pPr>
              <w:adjustRightInd w:val="0"/>
              <w:snapToGrid w:val="0"/>
              <w:spacing w:line="360" w:lineRule="auto"/>
              <w:ind w:firstLine="482" w:firstLineChars="200"/>
              <w:rPr>
                <w:b/>
                <w:sz w:val="24"/>
              </w:rPr>
            </w:pPr>
            <w:r>
              <w:rPr>
                <w:rFonts w:hint="eastAsia"/>
                <w:b/>
                <w:sz w:val="24"/>
              </w:rPr>
              <w:t>4、主要生产设备</w:t>
            </w:r>
          </w:p>
          <w:p>
            <w:pPr>
              <w:adjustRightInd w:val="0"/>
              <w:snapToGrid w:val="0"/>
              <w:spacing w:line="360" w:lineRule="auto"/>
              <w:ind w:firstLine="480" w:firstLineChars="200"/>
              <w:rPr>
                <w:sz w:val="24"/>
              </w:rPr>
            </w:pPr>
            <w:r>
              <w:rPr>
                <w:sz w:val="24"/>
              </w:rPr>
              <w:t>本项目主要生产设备如表</w:t>
            </w:r>
            <w:r>
              <w:rPr>
                <w:rFonts w:hint="eastAsia"/>
                <w:sz w:val="24"/>
              </w:rPr>
              <w:t>4所示。</w:t>
            </w:r>
          </w:p>
          <w:p>
            <w:pPr>
              <w:spacing w:line="360" w:lineRule="auto"/>
              <w:jc w:val="center"/>
              <w:outlineLvl w:val="4"/>
              <w:rPr>
                <w:rFonts w:eastAsia="黑体"/>
                <w:sz w:val="24"/>
                <w:szCs w:val="21"/>
              </w:rPr>
            </w:pPr>
            <w:bookmarkStart w:id="13" w:name="_Hlk3909092"/>
            <w:r>
              <w:rPr>
                <w:rFonts w:eastAsia="黑体"/>
                <w:sz w:val="24"/>
                <w:szCs w:val="21"/>
              </w:rPr>
              <w:t>表4 主要生产设备一览表</w:t>
            </w:r>
          </w:p>
          <w:tbl>
            <w:tblPr>
              <w:tblStyle w:val="25"/>
              <w:tblW w:w="74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607"/>
              <w:gridCol w:w="3017"/>
              <w:gridCol w:w="1102"/>
              <w:gridCol w:w="9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9" w:type="dxa"/>
                  <w:vAlign w:val="center"/>
                </w:tcPr>
                <w:p>
                  <w:pPr>
                    <w:widowControl/>
                    <w:jc w:val="center"/>
                    <w:rPr>
                      <w:kern w:val="0"/>
                    </w:rPr>
                  </w:pPr>
                  <w:r>
                    <w:rPr>
                      <w:kern w:val="0"/>
                    </w:rPr>
                    <w:t>序号</w:t>
                  </w:r>
                </w:p>
              </w:tc>
              <w:tc>
                <w:tcPr>
                  <w:tcW w:w="1607" w:type="dxa"/>
                  <w:vAlign w:val="center"/>
                </w:tcPr>
                <w:p>
                  <w:pPr>
                    <w:widowControl/>
                    <w:jc w:val="center"/>
                    <w:rPr>
                      <w:kern w:val="0"/>
                    </w:rPr>
                  </w:pPr>
                  <w:r>
                    <w:rPr>
                      <w:kern w:val="0"/>
                    </w:rPr>
                    <w:t>设备名称</w:t>
                  </w:r>
                </w:p>
              </w:tc>
              <w:tc>
                <w:tcPr>
                  <w:tcW w:w="3017" w:type="dxa"/>
                  <w:vAlign w:val="center"/>
                </w:tcPr>
                <w:p>
                  <w:pPr>
                    <w:widowControl/>
                    <w:jc w:val="center"/>
                    <w:rPr>
                      <w:kern w:val="0"/>
                    </w:rPr>
                  </w:pPr>
                  <w:r>
                    <w:rPr>
                      <w:kern w:val="0"/>
                    </w:rPr>
                    <w:t>规格参数</w:t>
                  </w:r>
                </w:p>
              </w:tc>
              <w:tc>
                <w:tcPr>
                  <w:tcW w:w="1102" w:type="dxa"/>
                  <w:vAlign w:val="center"/>
                </w:tcPr>
                <w:p>
                  <w:pPr>
                    <w:widowControl/>
                    <w:jc w:val="center"/>
                    <w:rPr>
                      <w:kern w:val="0"/>
                    </w:rPr>
                  </w:pPr>
                  <w:r>
                    <w:rPr>
                      <w:kern w:val="0"/>
                    </w:rPr>
                    <w:t>数量</w:t>
                  </w:r>
                </w:p>
              </w:tc>
              <w:tc>
                <w:tcPr>
                  <w:tcW w:w="912" w:type="dxa"/>
                  <w:vAlign w:val="center"/>
                </w:tcPr>
                <w:p>
                  <w:pPr>
                    <w:widowControl/>
                    <w:jc w:val="center"/>
                    <w:rPr>
                      <w:kern w:val="0"/>
                    </w:rPr>
                  </w:pPr>
                  <w:r>
                    <w:rPr>
                      <w:rFonts w:hint="eastAsia"/>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9" w:type="dxa"/>
                  <w:vAlign w:val="center"/>
                </w:tcPr>
                <w:p>
                  <w:pPr>
                    <w:widowControl/>
                    <w:jc w:val="center"/>
                    <w:rPr>
                      <w:kern w:val="0"/>
                    </w:rPr>
                  </w:pPr>
                  <w:r>
                    <w:rPr>
                      <w:kern w:val="0"/>
                    </w:rPr>
                    <w:t>1</w:t>
                  </w:r>
                </w:p>
              </w:tc>
              <w:tc>
                <w:tcPr>
                  <w:tcW w:w="1607" w:type="dxa"/>
                  <w:vAlign w:val="center"/>
                </w:tcPr>
                <w:p>
                  <w:pPr>
                    <w:widowControl/>
                    <w:jc w:val="center"/>
                    <w:rPr>
                      <w:kern w:val="0"/>
                    </w:rPr>
                  </w:pPr>
                  <w:r>
                    <w:rPr>
                      <w:rFonts w:hint="eastAsia"/>
                      <w:kern w:val="0"/>
                    </w:rPr>
                    <w:t>燃气</w:t>
                  </w:r>
                  <w:r>
                    <w:rPr>
                      <w:kern w:val="0"/>
                    </w:rPr>
                    <w:t>锅炉</w:t>
                  </w:r>
                </w:p>
              </w:tc>
              <w:tc>
                <w:tcPr>
                  <w:tcW w:w="3017" w:type="dxa"/>
                  <w:vAlign w:val="center"/>
                </w:tcPr>
                <w:p>
                  <w:pPr>
                    <w:widowControl/>
                    <w:jc w:val="center"/>
                    <w:rPr>
                      <w:kern w:val="0"/>
                    </w:rPr>
                  </w:pPr>
                  <w:r>
                    <w:rPr>
                      <w:rFonts w:hint="eastAsia"/>
                      <w:kern w:val="0"/>
                    </w:rPr>
                    <w:t>WNS4-1.25-Q</w:t>
                  </w:r>
                </w:p>
              </w:tc>
              <w:tc>
                <w:tcPr>
                  <w:tcW w:w="1102" w:type="dxa"/>
                  <w:vAlign w:val="center"/>
                </w:tcPr>
                <w:p>
                  <w:pPr>
                    <w:widowControl/>
                    <w:jc w:val="center"/>
                    <w:rPr>
                      <w:kern w:val="0"/>
                    </w:rPr>
                  </w:pPr>
                  <w:r>
                    <w:rPr>
                      <w:rFonts w:hint="eastAsia"/>
                      <w:kern w:val="0"/>
                    </w:rPr>
                    <w:t>1</w:t>
                  </w:r>
                </w:p>
              </w:tc>
              <w:tc>
                <w:tcPr>
                  <w:tcW w:w="912" w:type="dxa"/>
                  <w:vAlign w:val="center"/>
                </w:tcPr>
                <w:p>
                  <w:pPr>
                    <w:widowControl/>
                    <w:jc w:val="center"/>
                    <w:rPr>
                      <w:kern w:val="0"/>
                    </w:rPr>
                  </w:pPr>
                  <w:r>
                    <w:rPr>
                      <w:rFonts w:hint="eastAsia"/>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9" w:type="dxa"/>
                  <w:vAlign w:val="center"/>
                </w:tcPr>
                <w:p>
                  <w:pPr>
                    <w:widowControl/>
                    <w:jc w:val="center"/>
                    <w:rPr>
                      <w:kern w:val="0"/>
                    </w:rPr>
                  </w:pPr>
                  <w:r>
                    <w:rPr>
                      <w:rFonts w:hint="eastAsia"/>
                      <w:kern w:val="0"/>
                    </w:rPr>
                    <w:t>2</w:t>
                  </w:r>
                </w:p>
              </w:tc>
              <w:tc>
                <w:tcPr>
                  <w:tcW w:w="1607" w:type="dxa"/>
                  <w:vAlign w:val="center"/>
                </w:tcPr>
                <w:p>
                  <w:pPr>
                    <w:widowControl/>
                    <w:jc w:val="center"/>
                    <w:rPr>
                      <w:kern w:val="0"/>
                    </w:rPr>
                  </w:pPr>
                  <w:r>
                    <w:rPr>
                      <w:rFonts w:hint="eastAsia"/>
                      <w:kern w:val="0"/>
                    </w:rPr>
                    <w:t>低氮燃烧器</w:t>
                  </w:r>
                </w:p>
              </w:tc>
              <w:tc>
                <w:tcPr>
                  <w:tcW w:w="3017" w:type="dxa"/>
                  <w:vAlign w:val="center"/>
                </w:tcPr>
                <w:p>
                  <w:pPr>
                    <w:widowControl/>
                    <w:jc w:val="center"/>
                    <w:rPr>
                      <w:kern w:val="0"/>
                    </w:rPr>
                  </w:pPr>
                  <w:r>
                    <w:rPr>
                      <w:rFonts w:hint="eastAsia"/>
                      <w:kern w:val="0"/>
                    </w:rPr>
                    <w:t>W-SLG4</w:t>
                  </w:r>
                </w:p>
              </w:tc>
              <w:tc>
                <w:tcPr>
                  <w:tcW w:w="1102" w:type="dxa"/>
                  <w:vAlign w:val="center"/>
                </w:tcPr>
                <w:p>
                  <w:pPr>
                    <w:widowControl/>
                    <w:jc w:val="center"/>
                    <w:rPr>
                      <w:kern w:val="0"/>
                    </w:rPr>
                  </w:pPr>
                  <w:r>
                    <w:rPr>
                      <w:rFonts w:hint="eastAsia"/>
                      <w:kern w:val="0"/>
                    </w:rPr>
                    <w:t>1</w:t>
                  </w:r>
                </w:p>
              </w:tc>
              <w:tc>
                <w:tcPr>
                  <w:tcW w:w="912" w:type="dxa"/>
                  <w:vAlign w:val="center"/>
                </w:tcPr>
                <w:p>
                  <w:pPr>
                    <w:widowControl/>
                    <w:jc w:val="center"/>
                    <w:rPr>
                      <w:kern w:val="0"/>
                    </w:rPr>
                  </w:pPr>
                  <w:r>
                    <w:rPr>
                      <w:rFonts w:hint="eastAsia"/>
                      <w:kern w:val="0"/>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9" w:type="dxa"/>
                  <w:vAlign w:val="center"/>
                </w:tcPr>
                <w:p>
                  <w:pPr>
                    <w:widowControl/>
                    <w:jc w:val="center"/>
                    <w:rPr>
                      <w:kern w:val="0"/>
                    </w:rPr>
                  </w:pPr>
                  <w:r>
                    <w:rPr>
                      <w:rFonts w:hint="eastAsia"/>
                      <w:kern w:val="0"/>
                    </w:rPr>
                    <w:t>3</w:t>
                  </w:r>
                </w:p>
              </w:tc>
              <w:tc>
                <w:tcPr>
                  <w:tcW w:w="1607" w:type="dxa"/>
                  <w:vAlign w:val="center"/>
                </w:tcPr>
                <w:p>
                  <w:pPr>
                    <w:widowControl/>
                    <w:jc w:val="center"/>
                    <w:rPr>
                      <w:kern w:val="0"/>
                    </w:rPr>
                  </w:pPr>
                  <w:r>
                    <w:rPr>
                      <w:kern w:val="0"/>
                    </w:rPr>
                    <w:t>软水器</w:t>
                  </w:r>
                </w:p>
              </w:tc>
              <w:tc>
                <w:tcPr>
                  <w:tcW w:w="3017" w:type="dxa"/>
                  <w:vAlign w:val="center"/>
                </w:tcPr>
                <w:p>
                  <w:pPr>
                    <w:widowControl/>
                    <w:jc w:val="center"/>
                    <w:rPr>
                      <w:kern w:val="0"/>
                    </w:rPr>
                  </w:pPr>
                  <w:r>
                    <w:rPr>
                      <w:rFonts w:hint="eastAsia"/>
                      <w:kern w:val="0"/>
                    </w:rPr>
                    <w:t>F74A3</w:t>
                  </w:r>
                </w:p>
              </w:tc>
              <w:tc>
                <w:tcPr>
                  <w:tcW w:w="1102" w:type="dxa"/>
                  <w:vAlign w:val="center"/>
                </w:tcPr>
                <w:p>
                  <w:pPr>
                    <w:widowControl/>
                    <w:jc w:val="center"/>
                    <w:rPr>
                      <w:kern w:val="0"/>
                    </w:rPr>
                  </w:pPr>
                  <w:r>
                    <w:rPr>
                      <w:rFonts w:hint="eastAsia"/>
                      <w:kern w:val="0"/>
                    </w:rPr>
                    <w:t>2</w:t>
                  </w:r>
                </w:p>
              </w:tc>
              <w:tc>
                <w:tcPr>
                  <w:tcW w:w="912" w:type="dxa"/>
                  <w:vAlign w:val="center"/>
                </w:tcPr>
                <w:p>
                  <w:pPr>
                    <w:widowControl/>
                    <w:jc w:val="center"/>
                    <w:rPr>
                      <w:kern w:val="0"/>
                    </w:rPr>
                  </w:pPr>
                  <w:r>
                    <w:rPr>
                      <w:rFonts w:hint="eastAsia"/>
                      <w:kern w:val="0"/>
                    </w:rPr>
                    <w:t>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9" w:type="dxa"/>
                  <w:vAlign w:val="center"/>
                </w:tcPr>
                <w:p>
                  <w:pPr>
                    <w:widowControl/>
                    <w:jc w:val="center"/>
                    <w:rPr>
                      <w:kern w:val="0"/>
                    </w:rPr>
                  </w:pPr>
                  <w:r>
                    <w:rPr>
                      <w:rFonts w:hint="eastAsia"/>
                      <w:kern w:val="0"/>
                    </w:rPr>
                    <w:t>4</w:t>
                  </w:r>
                </w:p>
              </w:tc>
              <w:tc>
                <w:tcPr>
                  <w:tcW w:w="1607" w:type="dxa"/>
                  <w:vAlign w:val="center"/>
                </w:tcPr>
                <w:p>
                  <w:pPr>
                    <w:widowControl/>
                    <w:jc w:val="center"/>
                    <w:rPr>
                      <w:kern w:val="0"/>
                    </w:rPr>
                  </w:pPr>
                  <w:r>
                    <w:rPr>
                      <w:kern w:val="0"/>
                    </w:rPr>
                    <w:t>水箱</w:t>
                  </w:r>
                </w:p>
              </w:tc>
              <w:tc>
                <w:tcPr>
                  <w:tcW w:w="3017" w:type="dxa"/>
                  <w:vAlign w:val="center"/>
                </w:tcPr>
                <w:p>
                  <w:pPr>
                    <w:widowControl/>
                    <w:jc w:val="center"/>
                    <w:rPr>
                      <w:kern w:val="0"/>
                    </w:rPr>
                  </w:pPr>
                  <w:r>
                    <w:rPr>
                      <w:rFonts w:hint="eastAsia"/>
                      <w:kern w:val="0"/>
                    </w:rPr>
                    <w:t>18m</w:t>
                  </w:r>
                  <w:r>
                    <w:rPr>
                      <w:kern w:val="0"/>
                    </w:rPr>
                    <w:t>³</w:t>
                  </w:r>
                </w:p>
              </w:tc>
              <w:tc>
                <w:tcPr>
                  <w:tcW w:w="1102" w:type="dxa"/>
                  <w:vAlign w:val="center"/>
                </w:tcPr>
                <w:p>
                  <w:pPr>
                    <w:widowControl/>
                    <w:jc w:val="center"/>
                    <w:rPr>
                      <w:kern w:val="0"/>
                    </w:rPr>
                  </w:pPr>
                  <w:r>
                    <w:rPr>
                      <w:rFonts w:hint="eastAsia"/>
                      <w:kern w:val="0"/>
                    </w:rPr>
                    <w:t>1</w:t>
                  </w:r>
                </w:p>
              </w:tc>
              <w:tc>
                <w:tcPr>
                  <w:tcW w:w="912" w:type="dxa"/>
                  <w:vAlign w:val="center"/>
                </w:tcPr>
                <w:p>
                  <w:pPr>
                    <w:widowControl/>
                    <w:jc w:val="center"/>
                    <w:rPr>
                      <w:kern w:val="0"/>
                    </w:rPr>
                  </w:pPr>
                  <w:r>
                    <w:rPr>
                      <w:rFonts w:hint="eastAsia"/>
                      <w:kern w:val="0"/>
                    </w:rPr>
                    <w:t>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9" w:type="dxa"/>
                  <w:vAlign w:val="center"/>
                </w:tcPr>
                <w:p>
                  <w:pPr>
                    <w:widowControl/>
                    <w:jc w:val="center"/>
                    <w:rPr>
                      <w:kern w:val="0"/>
                    </w:rPr>
                  </w:pPr>
                  <w:r>
                    <w:rPr>
                      <w:rFonts w:hint="eastAsia"/>
                      <w:kern w:val="0"/>
                    </w:rPr>
                    <w:t>5</w:t>
                  </w:r>
                </w:p>
              </w:tc>
              <w:tc>
                <w:tcPr>
                  <w:tcW w:w="1607" w:type="dxa"/>
                  <w:vAlign w:val="center"/>
                </w:tcPr>
                <w:p>
                  <w:pPr>
                    <w:widowControl/>
                    <w:jc w:val="center"/>
                    <w:rPr>
                      <w:kern w:val="0"/>
                    </w:rPr>
                  </w:pPr>
                  <w:r>
                    <w:rPr>
                      <w:kern w:val="0"/>
                    </w:rPr>
                    <w:t>补水泵</w:t>
                  </w:r>
                </w:p>
              </w:tc>
              <w:tc>
                <w:tcPr>
                  <w:tcW w:w="3017" w:type="dxa"/>
                  <w:vAlign w:val="center"/>
                </w:tcPr>
                <w:p>
                  <w:pPr>
                    <w:widowControl/>
                    <w:jc w:val="center"/>
                    <w:rPr>
                      <w:kern w:val="0"/>
                    </w:rPr>
                  </w:pPr>
                  <w:r>
                    <w:rPr>
                      <w:rFonts w:hint="eastAsia"/>
                      <w:kern w:val="0"/>
                    </w:rPr>
                    <w:t>CDM5-29FSWPC</w:t>
                  </w:r>
                </w:p>
              </w:tc>
              <w:tc>
                <w:tcPr>
                  <w:tcW w:w="1102" w:type="dxa"/>
                  <w:vAlign w:val="center"/>
                </w:tcPr>
                <w:p>
                  <w:pPr>
                    <w:widowControl/>
                    <w:jc w:val="center"/>
                  </w:pPr>
                  <w:r>
                    <w:rPr>
                      <w:rFonts w:hint="eastAsia"/>
                    </w:rPr>
                    <w:t>2</w:t>
                  </w:r>
                </w:p>
              </w:tc>
              <w:tc>
                <w:tcPr>
                  <w:tcW w:w="912" w:type="dxa"/>
                  <w:vAlign w:val="center"/>
                </w:tcPr>
                <w:p>
                  <w:pPr>
                    <w:widowControl/>
                    <w:jc w:val="center"/>
                    <w:rPr>
                      <w:kern w:val="0"/>
                    </w:rPr>
                  </w:pPr>
                  <w:r>
                    <w:rPr>
                      <w:rFonts w:hint="eastAsia"/>
                      <w:kern w:val="0"/>
                    </w:rPr>
                    <w:t>原有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9" w:type="dxa"/>
                  <w:vAlign w:val="center"/>
                </w:tcPr>
                <w:p>
                  <w:pPr>
                    <w:widowControl/>
                    <w:jc w:val="center"/>
                    <w:rPr>
                      <w:kern w:val="0"/>
                      <w:szCs w:val="22"/>
                    </w:rPr>
                  </w:pPr>
                  <w:r>
                    <w:rPr>
                      <w:rFonts w:hint="eastAsia"/>
                      <w:kern w:val="0"/>
                      <w:szCs w:val="22"/>
                    </w:rPr>
                    <w:t>6</w:t>
                  </w:r>
                </w:p>
              </w:tc>
              <w:tc>
                <w:tcPr>
                  <w:tcW w:w="1607" w:type="dxa"/>
                  <w:vAlign w:val="center"/>
                </w:tcPr>
                <w:p>
                  <w:pPr>
                    <w:widowControl/>
                    <w:jc w:val="center"/>
                    <w:rPr>
                      <w:kern w:val="0"/>
                    </w:rPr>
                  </w:pPr>
                  <w:r>
                    <w:rPr>
                      <w:rFonts w:hint="eastAsia"/>
                      <w:kern w:val="0"/>
                    </w:rPr>
                    <w:t>换热器</w:t>
                  </w:r>
                </w:p>
              </w:tc>
              <w:tc>
                <w:tcPr>
                  <w:tcW w:w="3017" w:type="dxa"/>
                  <w:vAlign w:val="center"/>
                </w:tcPr>
                <w:p>
                  <w:pPr>
                    <w:widowControl/>
                    <w:jc w:val="center"/>
                    <w:rPr>
                      <w:kern w:val="0"/>
                    </w:rPr>
                  </w:pPr>
                  <w:r>
                    <w:rPr>
                      <w:kern w:val="0"/>
                    </w:rPr>
                    <w:t>ZFP8/10-65/10-N</w:t>
                  </w:r>
                </w:p>
              </w:tc>
              <w:tc>
                <w:tcPr>
                  <w:tcW w:w="1102" w:type="dxa"/>
                  <w:vAlign w:val="center"/>
                </w:tcPr>
                <w:p>
                  <w:pPr>
                    <w:widowControl/>
                    <w:jc w:val="center"/>
                  </w:pPr>
                  <w:r>
                    <w:rPr>
                      <w:rFonts w:hint="eastAsia"/>
                    </w:rPr>
                    <w:t>1</w:t>
                  </w:r>
                </w:p>
              </w:tc>
              <w:tc>
                <w:tcPr>
                  <w:tcW w:w="912" w:type="dxa"/>
                  <w:vAlign w:val="center"/>
                </w:tcPr>
                <w:p>
                  <w:pPr>
                    <w:widowControl/>
                    <w:jc w:val="center"/>
                    <w:rPr>
                      <w:kern w:val="0"/>
                      <w:szCs w:val="22"/>
                    </w:rPr>
                  </w:pPr>
                  <w:r>
                    <w:rPr>
                      <w:rFonts w:hint="eastAsia"/>
                      <w:kern w:val="0"/>
                      <w:szCs w:val="22"/>
                    </w:rPr>
                    <w:t>原有</w:t>
                  </w:r>
                </w:p>
              </w:tc>
            </w:tr>
            <w:bookmarkEnd w:id="13"/>
          </w:tbl>
          <w:p>
            <w:pPr>
              <w:adjustRightInd w:val="0"/>
              <w:snapToGrid w:val="0"/>
              <w:spacing w:line="360" w:lineRule="auto"/>
              <w:ind w:firstLine="482" w:firstLineChars="200"/>
              <w:rPr>
                <w:b/>
                <w:sz w:val="24"/>
              </w:rPr>
            </w:pPr>
            <w:r>
              <w:rPr>
                <w:b/>
                <w:sz w:val="24"/>
              </w:rPr>
              <w:t>5、</w:t>
            </w:r>
            <w:bookmarkStart w:id="14" w:name="_Hlk3908896"/>
            <w:r>
              <w:rPr>
                <w:b/>
                <w:sz w:val="24"/>
              </w:rPr>
              <w:t>工作制度及劳动定员</w:t>
            </w:r>
            <w:bookmarkEnd w:id="14"/>
          </w:p>
          <w:p>
            <w:pPr>
              <w:adjustRightInd w:val="0"/>
              <w:snapToGrid w:val="0"/>
              <w:spacing w:line="360" w:lineRule="auto"/>
              <w:ind w:firstLine="480" w:firstLineChars="200"/>
              <w:rPr>
                <w:sz w:val="24"/>
              </w:rPr>
            </w:pPr>
            <w:r>
              <w:rPr>
                <w:sz w:val="24"/>
              </w:rPr>
              <w:t>本项目</w:t>
            </w:r>
            <w:bookmarkStart w:id="15" w:name="_Hlk3908933"/>
            <w:r>
              <w:rPr>
                <w:sz w:val="24"/>
              </w:rPr>
              <w:t>劳动定员5人</w:t>
            </w:r>
            <w:r>
              <w:rPr>
                <w:rFonts w:hint="eastAsia"/>
                <w:sz w:val="24"/>
              </w:rPr>
              <w:t>，每天工作6h，年工作时间为2</w:t>
            </w:r>
            <w:r>
              <w:rPr>
                <w:sz w:val="24"/>
              </w:rPr>
              <w:t>7</w:t>
            </w:r>
            <w:r>
              <w:rPr>
                <w:rFonts w:hint="eastAsia"/>
                <w:sz w:val="24"/>
              </w:rPr>
              <w:t>0天。职工从厂区调配，不新增。</w:t>
            </w:r>
          </w:p>
          <w:p>
            <w:pPr>
              <w:adjustRightInd w:val="0"/>
              <w:snapToGrid w:val="0"/>
              <w:spacing w:line="360" w:lineRule="auto"/>
              <w:ind w:firstLine="200"/>
              <w:rPr>
                <w:b/>
                <w:sz w:val="24"/>
              </w:rPr>
            </w:pPr>
            <w:r>
              <w:rPr>
                <w:rFonts w:hint="eastAsia"/>
                <w:b/>
                <w:sz w:val="24"/>
              </w:rPr>
              <w:t>四</w:t>
            </w:r>
            <w:r>
              <w:rPr>
                <w:b/>
                <w:sz w:val="24"/>
              </w:rPr>
              <w:t>、公用工程及辅助设施</w:t>
            </w:r>
          </w:p>
          <w:p>
            <w:pPr>
              <w:adjustRightInd w:val="0"/>
              <w:snapToGrid w:val="0"/>
              <w:spacing w:line="360" w:lineRule="auto"/>
              <w:ind w:firstLine="480" w:firstLineChars="200"/>
              <w:rPr>
                <w:sz w:val="24"/>
              </w:rPr>
            </w:pPr>
            <w:r>
              <w:rPr>
                <w:rFonts w:hint="eastAsia"/>
                <w:sz w:val="24"/>
              </w:rPr>
              <w:t>（1）给水</w:t>
            </w:r>
          </w:p>
          <w:p>
            <w:pPr>
              <w:adjustRightInd w:val="0"/>
              <w:snapToGrid w:val="0"/>
              <w:spacing w:line="360" w:lineRule="auto"/>
              <w:ind w:firstLine="480" w:firstLineChars="200"/>
              <w:rPr>
                <w:sz w:val="24"/>
              </w:rPr>
            </w:pPr>
            <w:r>
              <w:rPr>
                <w:rFonts w:hint="eastAsia"/>
                <w:sz w:val="24"/>
              </w:rPr>
              <w:t>本项目用水主要为锅炉用水，由自来水公司供水。</w:t>
            </w:r>
          </w:p>
          <w:p>
            <w:pPr>
              <w:adjustRightInd w:val="0"/>
              <w:snapToGrid w:val="0"/>
              <w:spacing w:line="360" w:lineRule="auto"/>
              <w:ind w:firstLine="480" w:firstLineChars="200"/>
              <w:rPr>
                <w:sz w:val="24"/>
              </w:rPr>
            </w:pPr>
            <w:r>
              <w:rPr>
                <w:rFonts w:hint="eastAsia"/>
                <w:sz w:val="24"/>
              </w:rPr>
              <w:t>（2）排水</w:t>
            </w:r>
          </w:p>
          <w:p>
            <w:pPr>
              <w:adjustRightInd w:val="0"/>
              <w:snapToGrid w:val="0"/>
              <w:spacing w:line="360" w:lineRule="auto"/>
              <w:ind w:firstLine="480" w:firstLineChars="200"/>
              <w:rPr>
                <w:sz w:val="24"/>
              </w:rPr>
            </w:pPr>
            <w:r>
              <w:rPr>
                <w:rFonts w:hint="eastAsia"/>
                <w:sz w:val="24"/>
              </w:rPr>
              <w:t>本项目锅炉补水依托现有软水制备系统供给，软水制备系统运行过程树脂需要定期再生，树脂再生会产生软化废水，根据建设单位提供资料，本项目软化废水产生量约为</w:t>
            </w:r>
            <w:r>
              <w:rPr>
                <w:sz w:val="24"/>
              </w:rPr>
              <w:t>0.01</w:t>
            </w:r>
            <w:r>
              <w:rPr>
                <w:rFonts w:hint="eastAsia"/>
                <w:sz w:val="24"/>
              </w:rPr>
              <w:t xml:space="preserve"> m</w:t>
            </w:r>
            <w:r>
              <w:rPr>
                <w:rFonts w:hint="eastAsia"/>
                <w:sz w:val="24"/>
                <w:vertAlign w:val="superscript"/>
              </w:rPr>
              <w:t>3</w:t>
            </w:r>
            <w:r>
              <w:rPr>
                <w:rFonts w:hint="eastAsia"/>
                <w:sz w:val="24"/>
              </w:rPr>
              <w:t>/d。</w:t>
            </w:r>
          </w:p>
          <w:p>
            <w:pPr>
              <w:pStyle w:val="2"/>
              <w:adjustRightInd w:val="0"/>
              <w:snapToGrid w:val="0"/>
              <w:spacing w:line="360" w:lineRule="auto"/>
              <w:ind w:left="0" w:leftChars="0"/>
            </w:pPr>
            <w:r>
              <w:rPr>
                <w:rFonts w:hint="eastAsia"/>
              </w:rPr>
              <w:t>锅炉运行过程中，随着水不断蒸发浓缩，水中杂质浓度不断变大，当达到一定程度就会给锅炉带来不利影响。为了使锅炉水质各项指标均控制在标准范围内，就要定期排水，根据建设单位提供资料，本项目锅炉排水量约为</w:t>
            </w:r>
            <w:r>
              <w:t>0.12</w:t>
            </w:r>
            <w:r>
              <w:rPr>
                <w:rFonts w:hint="eastAsia"/>
              </w:rPr>
              <w:t>m</w:t>
            </w:r>
            <w:r>
              <w:rPr>
                <w:rFonts w:hint="eastAsia"/>
                <w:vertAlign w:val="superscript"/>
              </w:rPr>
              <w:t>3</w:t>
            </w:r>
            <w:r>
              <w:rPr>
                <w:rFonts w:hint="eastAsia"/>
              </w:rPr>
              <w:t>/d。</w:t>
            </w:r>
          </w:p>
          <w:p>
            <w:pPr>
              <w:pStyle w:val="2"/>
              <w:adjustRightInd w:val="0"/>
              <w:snapToGrid w:val="0"/>
              <w:spacing w:line="360" w:lineRule="auto"/>
              <w:ind w:left="0" w:leftChars="0"/>
            </w:pPr>
            <w:r>
              <w:rPr>
                <w:rFonts w:hint="eastAsia"/>
              </w:rPr>
              <w:t>锅炉排水与软化废水均属于含盐废水，较清洁，直接排入市政污水管网，经管网进入柞水县污水处理厂。</w:t>
            </w:r>
          </w:p>
          <w:p>
            <w:pPr>
              <w:pStyle w:val="2"/>
              <w:adjustRightInd w:val="0"/>
              <w:snapToGrid w:val="0"/>
              <w:spacing w:line="360" w:lineRule="auto"/>
              <w:ind w:left="0" w:leftChars="0"/>
            </w:pPr>
            <w:r>
              <w:rPr>
                <w:rFonts w:hint="eastAsia"/>
              </w:rPr>
              <w:t>本项目水平衡见图1，单位（m</w:t>
            </w:r>
            <w:r>
              <w:rPr>
                <w:vertAlign w:val="superscript"/>
              </w:rPr>
              <w:t>3</w:t>
            </w:r>
            <w:r>
              <w:t>/</w:t>
            </w:r>
            <w:r>
              <w:rPr>
                <w:rFonts w:hint="eastAsia"/>
              </w:rPr>
              <w:t>d）。</w:t>
            </w:r>
          </w:p>
          <w:p>
            <w:pPr>
              <w:pStyle w:val="2"/>
              <w:adjustRightInd w:val="0"/>
              <w:snapToGrid w:val="0"/>
              <w:spacing w:line="240" w:lineRule="auto"/>
              <w:jc w:val="center"/>
              <w:rPr>
                <w:rFonts w:ascii="黑体" w:hAnsi="黑体" w:eastAsia="黑体"/>
              </w:rPr>
            </w:pPr>
            <w:r>
              <w:drawing>
                <wp:inline distT="0" distB="0" distL="0" distR="0">
                  <wp:extent cx="4171315" cy="1979930"/>
                  <wp:effectExtent l="0" t="0" r="63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cstate="print"/>
                          <a:stretch>
                            <a:fillRect/>
                          </a:stretch>
                        </pic:blipFill>
                        <pic:spPr>
                          <a:xfrm>
                            <a:off x="0" y="0"/>
                            <a:ext cx="4171568" cy="1980000"/>
                          </a:xfrm>
                          <a:prstGeom prst="rect">
                            <a:avLst/>
                          </a:prstGeom>
                        </pic:spPr>
                      </pic:pic>
                    </a:graphicData>
                  </a:graphic>
                </wp:inline>
              </w:drawing>
            </w:r>
          </w:p>
          <w:p>
            <w:pPr>
              <w:pStyle w:val="2"/>
              <w:adjustRightInd w:val="0"/>
              <w:snapToGrid w:val="0"/>
              <w:spacing w:line="240" w:lineRule="auto"/>
              <w:jc w:val="center"/>
              <w:rPr>
                <w:rFonts w:ascii="黑体" w:hAnsi="黑体" w:eastAsia="黑体"/>
              </w:rPr>
            </w:pPr>
            <w:r>
              <w:rPr>
                <w:rFonts w:hint="eastAsia" w:ascii="黑体" w:hAnsi="黑体" w:eastAsia="黑体"/>
              </w:rPr>
              <w:t>图</w:t>
            </w:r>
            <w:r>
              <w:rPr>
                <w:rFonts w:eastAsia="黑体"/>
              </w:rPr>
              <w:t>1</w:t>
            </w:r>
            <w:r>
              <w:rPr>
                <w:rFonts w:hint="eastAsia" w:ascii="黑体" w:hAnsi="黑体" w:eastAsia="黑体"/>
              </w:rPr>
              <w:t xml:space="preserve"> 项目水平衡</w:t>
            </w:r>
          </w:p>
          <w:p>
            <w:pPr>
              <w:pStyle w:val="2"/>
              <w:adjustRightInd w:val="0"/>
              <w:snapToGrid w:val="0"/>
              <w:spacing w:before="156" w:beforeLines="50" w:line="360" w:lineRule="auto"/>
              <w:ind w:left="0" w:leftChars="0" w:firstLine="542"/>
              <w:jc w:val="left"/>
            </w:pPr>
            <w:r>
              <w:rPr>
                <w:rFonts w:hint="eastAsia"/>
                <w:b/>
              </w:rPr>
              <w:t>污水处理厂可依托性分析：</w:t>
            </w:r>
            <w:r>
              <w:t>柞水县污水处理厂</w:t>
            </w:r>
            <w:r>
              <w:rPr>
                <w:rFonts w:hint="eastAsia"/>
              </w:rPr>
              <w:t>位于柞水县下梁镇，占地26.25亩。处理规模为1.8万m</w:t>
            </w:r>
            <w:r>
              <w:rPr>
                <w:rFonts w:hint="eastAsia"/>
                <w:vertAlign w:val="superscript"/>
              </w:rPr>
              <w:t>3</w:t>
            </w:r>
            <w:r>
              <w:rPr>
                <w:rFonts w:hint="eastAsia"/>
              </w:rPr>
              <w:t>/d，一期规模为8000m</w:t>
            </w:r>
            <w:r>
              <w:rPr>
                <w:rFonts w:hint="eastAsia"/>
                <w:vertAlign w:val="superscript"/>
              </w:rPr>
              <w:t>3</w:t>
            </w:r>
            <w:r>
              <w:rPr>
                <w:rFonts w:hint="eastAsia"/>
              </w:rPr>
              <w:t>/d，现已建成运行。</w:t>
            </w:r>
            <w:r>
              <w:t>本项目</w:t>
            </w:r>
            <w:r>
              <w:rPr>
                <w:rFonts w:hint="eastAsia"/>
              </w:rPr>
              <w:t>锅炉排水与软化废水量约0.13</w:t>
            </w:r>
            <w:r>
              <w:t>m</w:t>
            </w:r>
            <w:r>
              <w:rPr>
                <w:vertAlign w:val="superscript"/>
              </w:rPr>
              <w:t>3</w:t>
            </w:r>
            <w:r>
              <w:rPr>
                <w:rFonts w:hint="eastAsia"/>
              </w:rPr>
              <w:t>/d，属于含盐废水，满足污水处理厂进水水质要求，且</w:t>
            </w:r>
            <w:r>
              <w:t>污水处理厂现有规模足够</w:t>
            </w:r>
            <w:r>
              <w:rPr>
                <w:rFonts w:hint="eastAsia"/>
              </w:rPr>
              <w:t>。项目地距柞水县污水处理厂6.59</w:t>
            </w:r>
            <w:r>
              <w:t xml:space="preserve"> </w:t>
            </w:r>
            <w:r>
              <w:rPr>
                <w:rFonts w:hint="eastAsia"/>
              </w:rPr>
              <w:t>km，属于污水处理厂纳水范围，本项目污水可就近接入，含盐废水排入污水处理厂可行。</w:t>
            </w:r>
          </w:p>
          <w:p>
            <w:pPr>
              <w:adjustRightInd w:val="0"/>
              <w:snapToGrid w:val="0"/>
              <w:spacing w:line="360" w:lineRule="auto"/>
              <w:ind w:firstLine="480" w:firstLineChars="200"/>
              <w:rPr>
                <w:sz w:val="24"/>
              </w:rPr>
            </w:pPr>
            <w:r>
              <w:rPr>
                <w:rFonts w:hint="eastAsia"/>
                <w:sz w:val="24"/>
              </w:rPr>
              <w:t>（3）供电</w:t>
            </w:r>
          </w:p>
          <w:p>
            <w:pPr>
              <w:adjustRightInd w:val="0"/>
              <w:snapToGrid w:val="0"/>
              <w:spacing w:line="360" w:lineRule="auto"/>
              <w:ind w:firstLine="480" w:firstLineChars="200"/>
              <w:rPr>
                <w:sz w:val="24"/>
              </w:rPr>
            </w:pPr>
            <w:r>
              <w:rPr>
                <w:rFonts w:hint="eastAsia"/>
                <w:sz w:val="24"/>
              </w:rPr>
              <w:t>根据设备数量、功率和使用时间，本项目生产用电量为</w:t>
            </w:r>
            <w:r>
              <w:rPr>
                <w:sz w:val="24"/>
              </w:rPr>
              <w:t>3.</w:t>
            </w:r>
            <w:r>
              <w:rPr>
                <w:rFonts w:hint="eastAsia"/>
                <w:sz w:val="24"/>
              </w:rPr>
              <w:t>5万kw·h/a，由供电局提供。</w:t>
            </w:r>
          </w:p>
          <w:p>
            <w:pPr>
              <w:pStyle w:val="2"/>
              <w:adjustRightInd w:val="0"/>
              <w:snapToGrid w:val="0"/>
              <w:spacing w:line="360" w:lineRule="auto"/>
              <w:ind w:left="0" w:leftChars="0"/>
            </w:pPr>
            <w:r>
              <w:rPr>
                <w:rFonts w:hint="eastAsia"/>
              </w:rPr>
              <w:t>（4）供气：项目用气由嘉华天然气公司提供，气源来自陕北子洲。天然气管道通过调压箱与锅炉管道联接，本项目天然气用量为45万m</w:t>
            </w:r>
            <w:r>
              <w:rPr>
                <w:rFonts w:hint="eastAsia"/>
                <w:vertAlign w:val="superscript"/>
              </w:rPr>
              <w:t>3</w:t>
            </w:r>
            <w:r>
              <w:rPr>
                <w:rFonts w:hint="eastAsia"/>
              </w:rPr>
              <w:t>/a（燃气锅炉年运行270d）。</w:t>
            </w:r>
          </w:p>
          <w:bookmarkEnd w:id="15"/>
          <w:p>
            <w:pPr>
              <w:pStyle w:val="2"/>
              <w:adjustRightInd w:val="0"/>
              <w:snapToGrid w:val="0"/>
              <w:spacing w:line="360" w:lineRule="auto"/>
              <w:ind w:left="0" w:leftChars="0" w:firstLine="200" w:firstLineChars="0"/>
              <w:rPr>
                <w:b/>
              </w:rPr>
            </w:pPr>
            <w:r>
              <w:rPr>
                <w:rFonts w:hint="eastAsia"/>
                <w:b/>
              </w:rPr>
              <w:t>五、总平面布置</w:t>
            </w:r>
          </w:p>
          <w:p>
            <w:pPr>
              <w:pStyle w:val="2"/>
              <w:adjustRightInd w:val="0"/>
              <w:snapToGrid w:val="0"/>
              <w:spacing w:line="360" w:lineRule="auto"/>
              <w:ind w:left="0" w:leftChars="0" w:firstLine="480" w:firstLineChars="200"/>
            </w:pPr>
            <w:r>
              <w:rPr>
                <w:rFonts w:hint="eastAsia"/>
              </w:rPr>
              <w:t>麓苑国际大酒店分为两大功能地块，客房布置在用地的西侧，餐饮娱乐布置在用地的东侧，入口广场为两大功能区的公共区域，本项目位于客房区域的北侧。项目不新建锅炉房，利用现有锅炉房只进行设备拆除和安装，现有锅炉房位于麓苑国际大酒店现有厂区的西北部，占地面积720m</w:t>
            </w:r>
            <w:r>
              <w:rPr>
                <w:rFonts w:hint="eastAsia"/>
                <w:vertAlign w:val="superscript"/>
              </w:rPr>
              <w:t>2</w:t>
            </w:r>
            <w:r>
              <w:rPr>
                <w:rFonts w:hint="eastAsia"/>
              </w:rPr>
              <w:t>，满足本次拟建的4t/h的燃气锅炉占地面积。项目在现有锅炉房内安装建设，厂区现有布局保持不变。厂区总平面布置图见附图3。</w:t>
            </w:r>
          </w:p>
          <w:p>
            <w:pPr>
              <w:pStyle w:val="2"/>
              <w:adjustRightInd w:val="0"/>
              <w:snapToGrid w:val="0"/>
              <w:spacing w:line="360" w:lineRule="auto"/>
              <w:ind w:left="0" w:leftChars="0" w:firstLine="480" w:firstLineChars="200"/>
            </w:pPr>
          </w:p>
          <w:p>
            <w:pPr>
              <w:pStyle w:val="2"/>
              <w:adjustRightInd w:val="0"/>
              <w:snapToGrid w:val="0"/>
              <w:spacing w:line="360" w:lineRule="auto"/>
              <w:ind w:left="0" w:leftChars="0" w:firstLine="432" w:firstLineChars="1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15"/>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b/>
                <w:bCs/>
                <w:sz w:val="28"/>
                <w:szCs w:val="28"/>
              </w:rPr>
            </w:pPr>
            <w:r>
              <w:rPr>
                <w:rFonts w:ascii="宋体" w:hAnsi="宋体"/>
                <w:b/>
                <w:bCs/>
                <w:sz w:val="28"/>
                <w:szCs w:val="28"/>
              </w:rPr>
              <w:t>与本项目有关的原有污染情况及主要环境问题：</w:t>
            </w:r>
          </w:p>
          <w:p>
            <w:pPr>
              <w:pStyle w:val="2"/>
              <w:adjustRightInd w:val="0"/>
              <w:snapToGrid w:val="0"/>
              <w:spacing w:line="360" w:lineRule="auto"/>
              <w:ind w:left="0" w:leftChars="0" w:firstLine="482" w:firstLineChars="200"/>
              <w:rPr>
                <w:b/>
              </w:rPr>
            </w:pPr>
            <w:r>
              <w:rPr>
                <w:rFonts w:hint="eastAsia"/>
                <w:b/>
              </w:rPr>
              <w:t>一、现有工程基本概况</w:t>
            </w:r>
          </w:p>
          <w:p>
            <w:pPr>
              <w:pStyle w:val="2"/>
              <w:adjustRightInd w:val="0"/>
              <w:snapToGrid w:val="0"/>
              <w:spacing w:line="360" w:lineRule="auto"/>
              <w:ind w:left="0" w:leftChars="0" w:firstLine="480" w:firstLineChars="200"/>
            </w:pPr>
            <w:r>
              <w:rPr>
                <w:rFonts w:hint="eastAsia"/>
              </w:rPr>
              <w:t>麓苑国际大酒店（原名：陕西五州万国生态度假酒店，名称说明见附件5）位于商洛市柞水县盘龙生态产业园区，是由陕西麓苑实业有限公司投入巨资兴建，由万国国际酒店管理有限公司管理的一家综合性酒店，主要服务功能包括住宿、餐饮、会议、娱乐等。酒店于2</w:t>
            </w:r>
            <w:r>
              <w:t>009</w:t>
            </w:r>
            <w:r>
              <w:rPr>
                <w:rFonts w:hint="eastAsia"/>
              </w:rPr>
              <w:t>年11月取得了柞水县环境保护局《关于陕西五州万国生态度假酒店项目环评报告表的批复》（柞环发[</w:t>
            </w:r>
            <w:r>
              <w:t>2009]92</w:t>
            </w:r>
            <w:r>
              <w:rPr>
                <w:rFonts w:hint="eastAsia"/>
              </w:rPr>
              <w:t>号），2018年11月取得了柞水县环境保护局《关于陕西麓苑实业有限公司麓苑国际大酒店项目噪声和固体废弃物污染防治设施竣工环境保护验收的批复》（柞环批复[</w:t>
            </w:r>
            <w:r>
              <w:t>20</w:t>
            </w:r>
            <w:r>
              <w:rPr>
                <w:rFonts w:hint="eastAsia"/>
              </w:rPr>
              <w:t>18</w:t>
            </w:r>
            <w:r>
              <w:t>]</w:t>
            </w:r>
            <w:r>
              <w:rPr>
                <w:rFonts w:hint="eastAsia"/>
              </w:rPr>
              <w:t>17号）。2018年10月企业完成了对麓苑国际大酒店项目废水废气的自主验收，由专家与验收监测单位等单位的代表组成的验收组同意麓苑国际大酒店项目通过竣工环境保护验收。</w:t>
            </w:r>
          </w:p>
          <w:p>
            <w:pPr>
              <w:pStyle w:val="2"/>
              <w:adjustRightInd w:val="0"/>
              <w:snapToGrid w:val="0"/>
              <w:spacing w:line="360" w:lineRule="auto"/>
              <w:ind w:left="0" w:leftChars="0" w:firstLine="480" w:firstLineChars="200"/>
            </w:pPr>
            <w:r>
              <w:rPr>
                <w:rFonts w:hint="eastAsia"/>
              </w:rPr>
              <w:t>根据现场调查，目前原有的燃煤锅炉（</w:t>
            </w:r>
            <w:r>
              <w:t>10t/h</w:t>
            </w:r>
            <w:r>
              <w:rPr>
                <w:rFonts w:hint="eastAsia"/>
              </w:rPr>
              <w:t>）尚未拆除，处于停运状态</w:t>
            </w:r>
            <w:r>
              <w:rPr>
                <w:rFonts w:hint="eastAsia"/>
                <w:lang w:eastAsia="zh-CN"/>
              </w:rPr>
              <w:t>，</w:t>
            </w:r>
            <w:r>
              <w:rPr>
                <w:rFonts w:hint="eastAsia"/>
                <w:lang w:val="en-US" w:eastAsia="zh-CN"/>
              </w:rPr>
              <w:t>烟囱已拆除，本次拟建的燃气锅炉（4t/h）设备已安装于原有锅炉房内燃煤锅炉东侧，新建成12m排气筒，目前尚未运行，属于未批先建</w:t>
            </w:r>
            <w:r>
              <w:rPr>
                <w:rFonts w:hint="eastAsia"/>
              </w:rPr>
              <w:t>。</w:t>
            </w:r>
          </w:p>
          <w:p>
            <w:pPr>
              <w:adjustRightInd w:val="0"/>
              <w:snapToGrid w:val="0"/>
              <w:spacing w:line="360" w:lineRule="auto"/>
              <w:ind w:firstLine="482" w:firstLineChars="200"/>
              <w:rPr>
                <w:b/>
                <w:sz w:val="24"/>
              </w:rPr>
            </w:pPr>
            <w:r>
              <w:rPr>
                <w:rFonts w:hint="eastAsia"/>
                <w:b/>
                <w:sz w:val="24"/>
              </w:rPr>
              <w:t>二、现有工程污染情况</w:t>
            </w:r>
          </w:p>
          <w:p>
            <w:pPr>
              <w:pStyle w:val="2"/>
              <w:adjustRightInd w:val="0"/>
              <w:snapToGrid w:val="0"/>
              <w:spacing w:line="360" w:lineRule="auto"/>
              <w:ind w:left="0" w:leftChars="0"/>
            </w:pPr>
            <w:r>
              <w:rPr>
                <w:rFonts w:hint="eastAsia"/>
              </w:rPr>
              <w:t>现有污染主要是酒店运行过程中产生的三废排放及燃煤锅炉运行产生的废气、废水、噪声和固体废物。</w:t>
            </w:r>
          </w:p>
          <w:p>
            <w:pPr>
              <w:pStyle w:val="2"/>
              <w:adjustRightInd w:val="0"/>
              <w:snapToGrid w:val="0"/>
              <w:spacing w:line="360" w:lineRule="auto"/>
              <w:ind w:left="0" w:leftChars="0"/>
            </w:pPr>
            <w:r>
              <w:rPr>
                <w:rFonts w:hint="eastAsia"/>
              </w:rPr>
              <w:t>1、废气</w:t>
            </w:r>
          </w:p>
          <w:p>
            <w:pPr>
              <w:pStyle w:val="2"/>
              <w:adjustRightInd w:val="0"/>
              <w:snapToGrid w:val="0"/>
              <w:spacing w:line="360" w:lineRule="auto"/>
              <w:ind w:left="0" w:leftChars="0" w:firstLine="480" w:firstLineChars="200"/>
              <w:jc w:val="left"/>
            </w:pPr>
            <w:r>
              <w:rPr>
                <w:rFonts w:hint="eastAsia"/>
              </w:rPr>
              <w:t>酒店运行过程中产生的废气主要为餐厅后厨排放油烟，根据《麓苑国际大酒店项目竣工环境保护验收监测报告（废气、废水）》监测结果，餐厅后厨排放油烟浓度满足 GB18483-2001《饮食业油烟排放标准》2.0mg/m</w:t>
            </w:r>
            <w:r>
              <w:rPr>
                <w:rFonts w:hint="eastAsia"/>
                <w:vertAlign w:val="superscript"/>
              </w:rPr>
              <w:t>3</w:t>
            </w:r>
            <w:r>
              <w:rPr>
                <w:rFonts w:hint="eastAsia"/>
              </w:rPr>
              <w:t>，油烟净化器净化效率达到 60%。通过企业自主验收。</w:t>
            </w:r>
          </w:p>
          <w:p>
            <w:pPr>
              <w:pStyle w:val="2"/>
              <w:adjustRightInd w:val="0"/>
              <w:snapToGrid w:val="0"/>
              <w:spacing w:line="360" w:lineRule="auto"/>
              <w:ind w:left="0" w:leftChars="0" w:firstLine="480" w:firstLineChars="200"/>
              <w:jc w:val="left"/>
            </w:pPr>
            <w:r>
              <w:rPr>
                <w:rFonts w:hint="eastAsia"/>
              </w:rPr>
              <w:t>原有燃煤锅炉运行产生的废气为锅炉烟气，主要污染物为烟尘、SO</w:t>
            </w:r>
            <w:r>
              <w:rPr>
                <w:rFonts w:hint="eastAsia"/>
                <w:vertAlign w:val="subscript"/>
              </w:rPr>
              <w:t>2</w:t>
            </w:r>
            <w:r>
              <w:rPr>
                <w:rFonts w:hint="eastAsia"/>
              </w:rPr>
              <w:t>和NO</w:t>
            </w:r>
            <w:r>
              <w:rPr>
                <w:rFonts w:hint="eastAsia"/>
                <w:vertAlign w:val="subscript"/>
              </w:rPr>
              <w:t>x</w:t>
            </w:r>
            <w:r>
              <w:rPr>
                <w:rFonts w:hint="eastAsia"/>
              </w:rPr>
              <w:t>。燃煤锅炉为层燃炉，所用燃料为烟煤，年运行时间270天，日运行时间6小时，年耗煤量900</w:t>
            </w:r>
            <w:r>
              <w:t>t</w:t>
            </w:r>
            <w:r>
              <w:rPr>
                <w:rFonts w:hint="eastAsia"/>
              </w:rPr>
              <w:t>，锅炉废气经20</w:t>
            </w:r>
            <w:r>
              <w:t>m</w:t>
            </w:r>
            <w:r>
              <w:rPr>
                <w:rFonts w:hint="eastAsia"/>
              </w:rPr>
              <w:t>排气筒排出。由于该酒店原有燃煤锅炉尚未经过环保验收现在责令拆除，因此没有监测数据，因此本评价对原有燃煤锅炉污染物的排放根据《污染源源强核算技术指南 锅炉》（HJ991-2018），燃煤锅炉污染源强采用系数法计算，式（1）。</w:t>
            </w:r>
          </w:p>
          <w:p>
            <w:pPr>
              <w:pStyle w:val="2"/>
              <w:adjustRightInd w:val="0"/>
              <w:snapToGrid w:val="0"/>
              <w:spacing w:line="360" w:lineRule="auto"/>
              <w:ind w:left="0" w:leftChars="0" w:firstLine="480" w:firstLineChars="200"/>
              <w:jc w:val="center"/>
            </w:pPr>
            <m:oMath>
              <m:sSub>
                <m:sSubPr>
                  <m:ctrlPr>
                    <w:rPr>
                      <w:rFonts w:ascii="Cambria Math" w:hAnsi="Cambria Math"/>
                    </w:rPr>
                  </m:ctrlPr>
                </m:sSubPr>
                <m:e>
                  <m:r>
                    <w:rPr>
                      <w:rFonts w:ascii="Cambria Math" w:hAnsi="Cambria Math"/>
                    </w:rPr>
                    <m:t>E</m:t>
                  </m:r>
                  <m:ctrlPr>
                    <w:rPr>
                      <w:rFonts w:ascii="Cambria Math" w:hAnsi="Cambria Math"/>
                    </w:rPr>
                  </m:ctrlPr>
                </m:e>
                <m:sub>
                  <m:r>
                    <w:rPr>
                      <w:rFonts w:hint="eastAsia" w:ascii="Cambria Math" w:hAnsi="Cambria Math"/>
                    </w:rPr>
                    <m:t>j</m:t>
                  </m:r>
                  <m:ctrlPr>
                    <w:rPr>
                      <w:rFonts w:ascii="Cambria Math" w:hAnsi="Cambria Math"/>
                    </w:rPr>
                  </m:ctrlPr>
                </m:sub>
              </m:sSub>
              <m:r>
                <w:rPr>
                  <w:rFonts w:ascii="Cambria Math" w:hAnsi="Cambria Math"/>
                </w:rPr>
                <m:t>=R×</m:t>
              </m:r>
              <m:sSub>
                <m:sSubPr>
                  <m:ctrlPr>
                    <w:rPr>
                      <w:rFonts w:ascii="Cambria Math" w:hAnsi="Cambria Math"/>
                      <w:i/>
                    </w:rPr>
                  </m:ctrlPr>
                </m:sSubPr>
                <m:e>
                  <m:r>
                    <w:rPr>
                      <w:rFonts w:ascii="Cambria Math" w:hAnsi="Cambria Math"/>
                    </w:rPr>
                    <m:t>β</m:t>
                  </m:r>
                  <m:ctrlPr>
                    <w:rPr>
                      <w:rFonts w:ascii="Cambria Math" w:hAnsi="Cambria Math"/>
                      <w:i/>
                    </w:rPr>
                  </m:ctrlPr>
                </m:e>
                <m:sub>
                  <m:r>
                    <w:rPr>
                      <w:rFonts w:ascii="Cambria Math" w:hAnsi="Cambria Math"/>
                    </w:rPr>
                    <m:t>j</m:t>
                  </m:r>
                  <m:ctrlPr>
                    <w:rPr>
                      <w:rFonts w:ascii="Cambria Math" w:hAnsi="Cambria Math"/>
                      <w:i/>
                    </w:rPr>
                  </m:ctrlPr>
                </m:sub>
              </m:sSub>
              <m:r>
                <w:rPr>
                  <w:rFonts w:ascii="Cambria Math" w:hAnsi="Cambria Math"/>
                </w:rPr>
                <m:t>×(1-</m:t>
              </m:r>
              <m:f>
                <m:fPr>
                  <m:ctrlPr>
                    <w:rPr>
                      <w:rFonts w:ascii="Cambria Math" w:hAnsi="Cambria Math"/>
                      <w:i/>
                    </w:rPr>
                  </m:ctrlPr>
                </m:fPr>
                <m:num>
                  <m:r>
                    <w:rPr>
                      <w:rFonts w:ascii="Cambria Math" w:hAnsi="Cambria Math"/>
                    </w:rPr>
                    <m:t>η</m:t>
                  </m:r>
                  <m:ctrlPr>
                    <w:rPr>
                      <w:rFonts w:ascii="Cambria Math" w:hAnsi="Cambria Math"/>
                      <w:i/>
                    </w:rPr>
                  </m:ctrlPr>
                </m:num>
                <m:den>
                  <m:r>
                    <w:rPr>
                      <w:rFonts w:ascii="Cambria Math" w:hAnsi="Cambria Math"/>
                    </w:rPr>
                    <m:t>100</m:t>
                  </m:r>
                  <m:ctrlPr>
                    <w:rPr>
                      <w:rFonts w:ascii="Cambria Math" w:hAnsi="Cambria Math"/>
                      <w:i/>
                    </w:rPr>
                  </m:ctrlPr>
                </m:den>
              </m:f>
              <m: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i/>
                    </w:rPr>
                  </m:ctrlPr>
                </m:e>
                <m:sup>
                  <m:r>
                    <w:rPr>
                      <w:rFonts w:ascii="Cambria Math" w:hAnsi="Cambria Math"/>
                    </w:rPr>
                    <m:t>-3</m:t>
                  </m:r>
                  <m:ctrlPr>
                    <w:rPr>
                      <w:rFonts w:ascii="Cambria Math" w:hAnsi="Cambria Math"/>
                      <w:i/>
                    </w:rPr>
                  </m:ctrlPr>
                </m:sup>
              </m:sSup>
            </m:oMath>
            <w:r>
              <w:rPr>
                <w:rFonts w:hint="eastAsia"/>
              </w:rPr>
              <w:t xml:space="preserve"> </w:t>
            </w:r>
            <w:r>
              <w:t xml:space="preserve">                    (</w:t>
            </w:r>
            <w:r>
              <w:rPr>
                <w:rFonts w:hint="eastAsia"/>
              </w:rPr>
              <w:t>1</w:t>
            </w:r>
            <w:r>
              <w:t>)</w:t>
            </w:r>
          </w:p>
          <w:p>
            <w:pPr>
              <w:pStyle w:val="2"/>
              <w:adjustRightInd w:val="0"/>
              <w:snapToGrid w:val="0"/>
              <w:spacing w:line="360" w:lineRule="auto"/>
              <w:ind w:firstLine="480" w:firstLineChars="200"/>
              <w:jc w:val="left"/>
            </w:pPr>
            <w:r>
              <w:rPr>
                <w:rFonts w:hint="eastAsia"/>
              </w:rPr>
              <w:t>式中：E</w:t>
            </w:r>
            <w:r>
              <w:rPr>
                <w:rFonts w:hint="eastAsia"/>
                <w:vertAlign w:val="subscript"/>
              </w:rPr>
              <w:t>j</w:t>
            </w:r>
            <w:r>
              <w:rPr>
                <w:rFonts w:hint="eastAsia"/>
              </w:rPr>
              <w:t xml:space="preserve">：核算时段内第 j 种污染物排放量，t； </w:t>
            </w:r>
          </w:p>
          <w:p>
            <w:pPr>
              <w:pStyle w:val="2"/>
              <w:adjustRightInd w:val="0"/>
              <w:snapToGrid w:val="0"/>
              <w:spacing w:line="360" w:lineRule="auto"/>
              <w:ind w:firstLine="1200" w:firstLineChars="500"/>
              <w:jc w:val="left"/>
            </w:pPr>
            <w:r>
              <w:rPr>
                <w:rFonts w:hint="eastAsia"/>
              </w:rPr>
              <w:t>R：核算时段内燃料消耗量，t 或万m</w:t>
            </w:r>
            <w:r>
              <w:rPr>
                <w:rFonts w:hint="eastAsia"/>
                <w:vertAlign w:val="superscript"/>
              </w:rPr>
              <w:t>3</w:t>
            </w:r>
            <w:r>
              <w:rPr>
                <w:rFonts w:hint="eastAsia"/>
              </w:rPr>
              <w:t>；</w:t>
            </w:r>
          </w:p>
          <w:p>
            <w:pPr>
              <w:pStyle w:val="2"/>
              <w:adjustRightInd w:val="0"/>
              <w:snapToGrid w:val="0"/>
              <w:spacing w:line="360" w:lineRule="auto"/>
              <w:ind w:firstLine="1200" w:firstLineChars="500"/>
              <w:jc w:val="left"/>
            </w:pPr>
            <m:oMath>
              <m:sSub>
                <m:sSubPr>
                  <m:ctrlPr>
                    <w:rPr>
                      <w:rFonts w:ascii="Cambria Math" w:hAnsi="Cambria Math"/>
                    </w:rPr>
                  </m:ctrlPr>
                </m:sSubPr>
                <m:e>
                  <m:r>
                    <w:rPr>
                      <w:rFonts w:ascii="Cambria Math" w:hAnsi="Cambria Math"/>
                    </w:rPr>
                    <m:t>β</m:t>
                  </m:r>
                  <m:ctrlPr>
                    <w:rPr>
                      <w:rFonts w:ascii="Cambria Math" w:hAnsi="Cambria Math"/>
                    </w:rPr>
                  </m:ctrlPr>
                </m:e>
                <m:sub>
                  <m:r>
                    <w:rPr>
                      <w:rFonts w:ascii="Cambria Math" w:hAnsi="Cambria Math"/>
                    </w:rPr>
                    <m:t>j</m:t>
                  </m:r>
                  <m:ctrlPr>
                    <w:rPr>
                      <w:rFonts w:ascii="Cambria Math" w:hAnsi="Cambria Math"/>
                    </w:rPr>
                  </m:ctrlPr>
                </m:sub>
              </m:sSub>
            </m:oMath>
            <w:r>
              <w:rPr>
                <w:rFonts w:hint="eastAsia"/>
              </w:rPr>
              <w:t>：产污系数，kg/t 或 kg/万m</w:t>
            </w:r>
            <w:r>
              <w:rPr>
                <w:rFonts w:hint="eastAsia"/>
                <w:vertAlign w:val="superscript"/>
              </w:rPr>
              <w:t>3</w:t>
            </w:r>
            <w:r>
              <w:rPr>
                <w:rFonts w:hint="eastAsia"/>
              </w:rPr>
              <w:t xml:space="preserve">。 </w:t>
            </w:r>
          </w:p>
          <w:p>
            <w:pPr>
              <w:pStyle w:val="2"/>
              <w:adjustRightInd w:val="0"/>
              <w:snapToGrid w:val="0"/>
              <w:spacing w:line="360" w:lineRule="auto"/>
              <w:ind w:left="0" w:leftChars="0" w:firstLine="480" w:firstLineChars="200"/>
            </w:pPr>
            <w:r>
              <w:rPr>
                <w:rFonts w:hint="eastAsia"/>
              </w:rPr>
              <w:t>参考《第一次全国污染源普查工业污染源产排污系数手册》第十分册之“4430工业锅炉（热力生产和供应行业）产排污系数表-燃煤工业锅炉”，燃煤锅炉烟气量排污系数为</w:t>
            </w:r>
            <w:r>
              <w:t>10290.43</w:t>
            </w:r>
            <w:r>
              <w:rPr>
                <w:rFonts w:hint="eastAsia"/>
              </w:rPr>
              <w:t>Nm</w:t>
            </w:r>
            <w:r>
              <w:rPr>
                <w:rFonts w:hint="eastAsia"/>
                <w:vertAlign w:val="superscript"/>
              </w:rPr>
              <w:t>3</w:t>
            </w:r>
            <w:r>
              <w:rPr>
                <w:rFonts w:hint="eastAsia"/>
              </w:rPr>
              <w:t>/t-原料，SO</w:t>
            </w:r>
            <w:r>
              <w:rPr>
                <w:rFonts w:hint="eastAsia"/>
                <w:vertAlign w:val="subscript"/>
              </w:rPr>
              <w:t>2</w:t>
            </w:r>
            <w:r>
              <w:rPr>
                <w:rFonts w:hint="eastAsia"/>
              </w:rPr>
              <w:t>排污系数为</w:t>
            </w:r>
            <w:r>
              <w:t>16</w:t>
            </w:r>
            <w:r>
              <w:rPr>
                <w:rFonts w:hint="eastAsia"/>
              </w:rPr>
              <w:t>Skg/t-原料（S取2.17），NO</w:t>
            </w:r>
            <w:r>
              <w:rPr>
                <w:rFonts w:hint="eastAsia"/>
                <w:vertAlign w:val="subscript"/>
              </w:rPr>
              <w:t>X</w:t>
            </w:r>
            <w:r>
              <w:rPr>
                <w:rFonts w:hint="eastAsia"/>
              </w:rPr>
              <w:t>排污系数为</w:t>
            </w:r>
            <w:r>
              <w:t>2.94</w:t>
            </w:r>
            <w:r>
              <w:rPr>
                <w:rFonts w:hint="eastAsia"/>
              </w:rPr>
              <w:t>kg/t-原料，烟尘排污系数为</w:t>
            </w:r>
            <w:r>
              <w:t>1.25</w:t>
            </w:r>
            <w:r>
              <w:rPr>
                <w:rFonts w:hint="eastAsia"/>
              </w:rPr>
              <w:t>Akg/t-原料（A取5.23）。因此现有燃煤锅炉排放废气量926.14万Nm</w:t>
            </w:r>
            <w:r>
              <w:rPr>
                <w:rFonts w:hint="eastAsia"/>
                <w:vertAlign w:val="superscript"/>
              </w:rPr>
              <w:t>3</w:t>
            </w:r>
            <w:r>
              <w:rPr>
                <w:rFonts w:hint="eastAsia"/>
              </w:rPr>
              <w:t>/a，SO</w:t>
            </w:r>
            <w:r>
              <w:rPr>
                <w:rFonts w:hint="eastAsia"/>
                <w:vertAlign w:val="subscript"/>
              </w:rPr>
              <w:t>2</w:t>
            </w:r>
            <w:r>
              <w:rPr>
                <w:rFonts w:hint="eastAsia"/>
              </w:rPr>
              <w:t>年排放量为31.25t/a，NO</w:t>
            </w:r>
            <w:r>
              <w:rPr>
                <w:rFonts w:hint="eastAsia"/>
                <w:vertAlign w:val="subscript"/>
              </w:rPr>
              <w:t>X</w:t>
            </w:r>
            <w:r>
              <w:rPr>
                <w:rFonts w:hint="eastAsia"/>
              </w:rPr>
              <w:t>年排放量为2.65t/a，烟尘年排放量为5.88t/a。</w:t>
            </w:r>
          </w:p>
          <w:p>
            <w:pPr>
              <w:pStyle w:val="2"/>
              <w:adjustRightInd w:val="0"/>
              <w:snapToGrid w:val="0"/>
              <w:spacing w:line="360" w:lineRule="auto"/>
              <w:ind w:left="0" w:leftChars="0" w:firstLine="480" w:firstLineChars="200"/>
            </w:pPr>
            <w:r>
              <w:rPr>
                <w:rFonts w:hint="eastAsia"/>
              </w:rPr>
              <w:t>2、废水</w:t>
            </w:r>
          </w:p>
          <w:p>
            <w:pPr>
              <w:pStyle w:val="2"/>
              <w:adjustRightInd w:val="0"/>
              <w:snapToGrid w:val="0"/>
              <w:spacing w:line="360" w:lineRule="auto"/>
              <w:ind w:left="0" w:leftChars="0" w:firstLine="480" w:firstLineChars="200"/>
              <w:jc w:val="left"/>
            </w:pPr>
            <w:r>
              <w:rPr>
                <w:rFonts w:hint="eastAsia"/>
              </w:rPr>
              <w:t>酒店废水主要包括生活污水与食堂废水，根据《麓苑国际大酒店项目竣工环境保护验收监测报告（废气、废水）》，生活污水经化粪池处理后，排入市政管网，食堂废水经隔油池预处理后进入化粪池，随后进入市政管网。根据监测报告，验收监测期间pH、COD、BOD5、SS、动植物油、石油类满足《污水综合排放标准》(GB8978-1996）三级标准。</w:t>
            </w:r>
          </w:p>
          <w:p>
            <w:pPr>
              <w:pStyle w:val="2"/>
              <w:adjustRightInd w:val="0"/>
              <w:snapToGrid w:val="0"/>
              <w:spacing w:line="360" w:lineRule="auto"/>
              <w:ind w:left="0" w:leftChars="0" w:firstLine="480" w:firstLineChars="200"/>
            </w:pPr>
            <w:r>
              <w:rPr>
                <w:rFonts w:hint="eastAsia"/>
              </w:rPr>
              <w:t>燃煤锅炉运行产生的锅炉排水与软化废水经市政污水管网排入污水处理厂。</w:t>
            </w:r>
          </w:p>
          <w:p>
            <w:pPr>
              <w:pStyle w:val="2"/>
              <w:adjustRightInd w:val="0"/>
              <w:snapToGrid w:val="0"/>
              <w:spacing w:line="360" w:lineRule="auto"/>
              <w:ind w:left="0" w:leftChars="0" w:firstLine="480" w:firstLineChars="200"/>
            </w:pPr>
            <w:r>
              <w:rPr>
                <w:rFonts w:hint="eastAsia"/>
              </w:rPr>
              <w:t>3、固废</w:t>
            </w:r>
          </w:p>
          <w:p>
            <w:pPr>
              <w:pStyle w:val="2"/>
              <w:adjustRightInd w:val="0"/>
              <w:snapToGrid w:val="0"/>
              <w:spacing w:line="360" w:lineRule="auto"/>
              <w:ind w:left="0" w:leftChars="0" w:firstLine="480" w:firstLineChars="200"/>
              <w:jc w:val="left"/>
            </w:pPr>
            <w:r>
              <w:rPr>
                <w:rFonts w:hint="eastAsia"/>
              </w:rPr>
              <w:t>酒店运行过程中产生的固废主要为生活垃圾及餐饮垃圾，生活垃圾交由环卫部门处理处置，餐饮废油脂交由专人收集处理，做到日产日清，对外环境影响较小。酒店于2018年11月取得了柞水县环境保护局《关于陕西麓苑实业有限公司麓苑国际大酒店项目噪声和固体废弃物污染防治设施竣工环境保护验收的批复》（柞环批复[2018]17号）。</w:t>
            </w:r>
          </w:p>
          <w:p>
            <w:pPr>
              <w:pStyle w:val="2"/>
              <w:adjustRightInd w:val="0"/>
              <w:snapToGrid w:val="0"/>
              <w:spacing w:line="360" w:lineRule="auto"/>
              <w:ind w:left="0" w:leftChars="0" w:firstLine="480" w:firstLineChars="200"/>
              <w:jc w:val="left"/>
            </w:pPr>
            <w:r>
              <w:rPr>
                <w:rFonts w:hint="eastAsia"/>
              </w:rPr>
              <w:t>燃煤锅炉产生的固体废弃物主要为锅炉排渣。根据建设单位提供的资料与现场实际调查，燃煤锅炉炉渣产生量约为43.5t/a，炉渣露天存放于锅炉房西侧，定期拉出厂外综合利用。</w:t>
            </w:r>
            <w:r>
              <w:t xml:space="preserve"> </w:t>
            </w:r>
          </w:p>
          <w:p>
            <w:pPr>
              <w:pStyle w:val="2"/>
              <w:adjustRightInd w:val="0"/>
              <w:snapToGrid w:val="0"/>
              <w:spacing w:line="360" w:lineRule="auto"/>
              <w:ind w:left="0" w:leftChars="0" w:firstLine="480" w:firstLineChars="200"/>
              <w:jc w:val="left"/>
            </w:pPr>
            <w:r>
              <w:rPr>
                <w:rFonts w:hint="eastAsia"/>
              </w:rPr>
              <w:t>4、噪声</w:t>
            </w:r>
          </w:p>
          <w:p>
            <w:pPr>
              <w:pStyle w:val="2"/>
              <w:adjustRightInd w:val="0"/>
              <w:snapToGrid w:val="0"/>
              <w:spacing w:line="360" w:lineRule="auto"/>
              <w:ind w:left="0" w:leftChars="0" w:firstLine="480" w:firstLineChars="200"/>
              <w:jc w:val="left"/>
            </w:pPr>
            <w:r>
              <w:rPr>
                <w:rFonts w:hint="eastAsia"/>
              </w:rPr>
              <w:t>酒店运行过程中的噪声主要为设备噪声，根据《麓苑国际大酒店项目竣工环境保护验收监测报告表（噪声、固废）》验收监测结果，项目厂界昼夜噪声均符合《工业企业厂界环境噪声排放标准》（GB12348-2008） 2 类标准。</w:t>
            </w:r>
          </w:p>
          <w:p>
            <w:pPr>
              <w:adjustRightInd w:val="0"/>
              <w:snapToGrid w:val="0"/>
              <w:spacing w:line="360" w:lineRule="auto"/>
              <w:ind w:firstLine="482" w:firstLineChars="200"/>
              <w:rPr>
                <w:b/>
                <w:sz w:val="24"/>
              </w:rPr>
            </w:pPr>
            <w:r>
              <w:rPr>
                <w:rFonts w:hint="eastAsia"/>
                <w:b/>
                <w:sz w:val="24"/>
              </w:rPr>
              <w:t>三、整改前存在的环境问题</w:t>
            </w:r>
          </w:p>
          <w:p>
            <w:pPr>
              <w:pStyle w:val="2"/>
              <w:adjustRightInd w:val="0"/>
              <w:snapToGrid w:val="0"/>
              <w:spacing w:line="360" w:lineRule="auto"/>
              <w:ind w:left="0" w:leftChars="0"/>
            </w:pPr>
            <w:r>
              <w:rPr>
                <w:rFonts w:hint="eastAsia"/>
              </w:rPr>
              <w:t>整改前燃煤蒸汽锅炉以煤为燃料，污染物排放量大，废气排放对环境空气影响较大；燃煤与炉渣露天堆放，影响周围环境。按照柞水县人民政府办公室《关于印发柞水县2018年度主要污染物总量减排实施方案的通知》（柞政办发[2018]34号）文件的要求，本项目燃煤锅炉需拆除。</w:t>
            </w:r>
          </w:p>
          <w:p>
            <w:pPr>
              <w:adjustRightInd w:val="0"/>
              <w:snapToGrid w:val="0"/>
              <w:spacing w:line="360" w:lineRule="auto"/>
              <w:ind w:firstLine="482" w:firstLineChars="200"/>
              <w:rPr>
                <w:b/>
                <w:sz w:val="24"/>
              </w:rPr>
            </w:pPr>
            <w:r>
              <w:rPr>
                <w:rFonts w:hint="eastAsia"/>
                <w:b/>
                <w:sz w:val="24"/>
              </w:rPr>
              <w:t>四、整改措施</w:t>
            </w:r>
          </w:p>
          <w:p>
            <w:pPr>
              <w:pStyle w:val="2"/>
              <w:adjustRightInd w:val="0"/>
              <w:snapToGrid w:val="0"/>
              <w:spacing w:line="360" w:lineRule="auto"/>
              <w:ind w:left="0" w:leftChars="0"/>
            </w:pPr>
            <w:r>
              <w:rPr>
                <w:rFonts w:hint="eastAsia"/>
              </w:rPr>
              <w:t>本次整改工程将燃煤锅炉（10t/h）拆除，新增一台燃气锅炉（4t/h），并配套低氮燃烧器。整改完成后，颗粒物排放浓度降至10mg/m</w:t>
            </w:r>
            <w:r>
              <w:rPr>
                <w:rFonts w:hint="eastAsia"/>
                <w:vertAlign w:val="superscript"/>
              </w:rPr>
              <w:t>3</w:t>
            </w:r>
            <w:r>
              <w:rPr>
                <w:rFonts w:hint="eastAsia"/>
              </w:rPr>
              <w:t>以下，二氧化硫排放浓度降至20mg/m</w:t>
            </w:r>
            <w:r>
              <w:rPr>
                <w:rFonts w:hint="eastAsia"/>
                <w:vertAlign w:val="superscript"/>
              </w:rPr>
              <w:t>3</w:t>
            </w:r>
            <w:r>
              <w:rPr>
                <w:rFonts w:hint="eastAsia"/>
              </w:rPr>
              <w:t>以下，氮氧化物排放浓度降至50mg/m</w:t>
            </w:r>
            <w:r>
              <w:rPr>
                <w:rFonts w:hint="eastAsia"/>
                <w:vertAlign w:val="superscript"/>
              </w:rPr>
              <w:t>3</w:t>
            </w:r>
            <w:r>
              <w:rPr>
                <w:rFonts w:hint="eastAsia"/>
              </w:rPr>
              <w:t>以下，能够满足陕西省《锅炉大气污染物排放标准》（DB61/1226-2018）中规定的排放限值。</w:t>
            </w: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p>
          <w:p>
            <w:pPr>
              <w:pStyle w:val="2"/>
              <w:spacing w:line="360" w:lineRule="auto"/>
              <w:ind w:left="0" w:leftChars="0" w:firstLine="0" w:firstLineChars="0"/>
            </w:pPr>
            <w:bookmarkStart w:id="47" w:name="_GoBack"/>
            <w:bookmarkEnd w:id="47"/>
          </w:p>
        </w:tc>
      </w:tr>
    </w:tbl>
    <w:p>
      <w:pPr>
        <w:pStyle w:val="3"/>
        <w:spacing w:before="0" w:after="0" w:line="240" w:lineRule="auto"/>
        <w:rPr>
          <w:rFonts w:ascii="Times New Roman"/>
          <w:sz w:val="28"/>
          <w:szCs w:val="28"/>
        </w:rPr>
        <w:sectPr>
          <w:footerReference r:id="rId4" w:type="first"/>
          <w:footerReference r:id="rId3" w:type="default"/>
          <w:pgSz w:w="11906" w:h="16838"/>
          <w:pgMar w:top="1418" w:right="1418" w:bottom="1418" w:left="1418" w:header="851" w:footer="992" w:gutter="0"/>
          <w:pgNumType w:start="1"/>
          <w:cols w:space="720" w:num="1"/>
          <w:titlePg/>
          <w:docGrid w:type="lines" w:linePitch="312" w:charSpace="0"/>
        </w:sectPr>
      </w:pPr>
    </w:p>
    <w:p>
      <w:pPr>
        <w:pStyle w:val="3"/>
        <w:spacing w:before="0" w:after="0" w:line="240" w:lineRule="auto"/>
        <w:rPr>
          <w:rFonts w:ascii="Times New Roman"/>
          <w:b w:val="0"/>
          <w:sz w:val="28"/>
          <w:szCs w:val="28"/>
        </w:rPr>
      </w:pPr>
      <w:bookmarkStart w:id="16" w:name="_Toc5311"/>
      <w:bookmarkStart w:id="17" w:name="_Toc5113208"/>
      <w:r>
        <w:rPr>
          <w:rFonts w:ascii="Times New Roman"/>
          <w:sz w:val="28"/>
          <w:szCs w:val="28"/>
        </w:rPr>
        <w:t>建设项目所在地的自然环境</w:t>
      </w:r>
      <w:bookmarkEnd w:id="16"/>
      <w:bookmarkEnd w:id="17"/>
    </w:p>
    <w:tbl>
      <w:tblPr>
        <w:tblStyle w:val="25"/>
        <w:tblW w:w="91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5" w:hRule="atLeast"/>
          <w:jc w:val="center"/>
        </w:trPr>
        <w:tc>
          <w:tcPr>
            <w:tcW w:w="9120" w:type="dxa"/>
          </w:tcPr>
          <w:p>
            <w:pPr>
              <w:adjustRightInd w:val="0"/>
              <w:snapToGrid w:val="0"/>
              <w:spacing w:line="360" w:lineRule="auto"/>
              <w:rPr>
                <w:b/>
                <w:sz w:val="24"/>
              </w:rPr>
            </w:pPr>
            <w:r>
              <w:rPr>
                <w:b/>
                <w:sz w:val="24"/>
              </w:rPr>
              <w:t>自然环境简况（地形、地貌、地质、气候、气象、水文等）</w:t>
            </w:r>
          </w:p>
          <w:p>
            <w:pPr>
              <w:adjustRightInd w:val="0"/>
              <w:snapToGrid w:val="0"/>
              <w:spacing w:line="360" w:lineRule="auto"/>
              <w:ind w:firstLine="480" w:firstLineChars="200"/>
              <w:rPr>
                <w:sz w:val="24"/>
              </w:rPr>
            </w:pPr>
            <w:r>
              <w:rPr>
                <w:sz w:val="24"/>
              </w:rPr>
              <w:t>1、地理位置</w:t>
            </w:r>
          </w:p>
          <w:p>
            <w:pPr>
              <w:adjustRightInd w:val="0"/>
              <w:snapToGrid w:val="0"/>
              <w:spacing w:line="360" w:lineRule="auto"/>
              <w:ind w:firstLine="480" w:firstLineChars="200"/>
              <w:rPr>
                <w:sz w:val="24"/>
                <w:lang w:val="zh-CN"/>
              </w:rPr>
            </w:pPr>
            <w:r>
              <w:rPr>
                <w:rFonts w:hint="eastAsia"/>
                <w:sz w:val="24"/>
                <w:lang w:val="zh-CN"/>
              </w:rPr>
              <w:t>柞水县位于陕西省南部，商洛地区西部。东与商州区、山阳县接壤；南邻镇安县；西邻宁陕县；北与长安、蓝田县相连。介于东经108°50′~109°36′，北纬33°20′~34°之间，东西长72.7公里，南北宽55.2公里，总面积2366.67平方公里，占全省面积的1.13%，占商洛地区面积的12%。</w:t>
            </w:r>
          </w:p>
          <w:p>
            <w:pPr>
              <w:adjustRightInd w:val="0"/>
              <w:snapToGrid w:val="0"/>
              <w:spacing w:line="360" w:lineRule="auto"/>
              <w:ind w:firstLine="480" w:firstLineChars="200"/>
              <w:rPr>
                <w:sz w:val="24"/>
                <w:lang w:val="zh-CN"/>
              </w:rPr>
            </w:pPr>
            <w:r>
              <w:rPr>
                <w:rFonts w:hint="eastAsia"/>
                <w:sz w:val="24"/>
                <w:lang w:val="zh-CN"/>
              </w:rPr>
              <w:t>麓苑国际大酒店位于柞水县盘龙生态产业园区内，距离高速路口(西安至柞水出口)及柞水县城均约2公里路程，交通便利。</w:t>
            </w:r>
          </w:p>
          <w:p>
            <w:pPr>
              <w:adjustRightInd w:val="0"/>
              <w:snapToGrid w:val="0"/>
              <w:spacing w:line="360" w:lineRule="auto"/>
              <w:ind w:firstLine="480" w:firstLineChars="200"/>
              <w:rPr>
                <w:sz w:val="24"/>
                <w:lang w:val="zh-CN"/>
              </w:rPr>
            </w:pPr>
            <w:r>
              <w:rPr>
                <w:rFonts w:hint="eastAsia"/>
                <w:sz w:val="24"/>
                <w:lang w:val="zh-CN"/>
              </w:rPr>
              <w:t>本项目位于麓苑国际大酒店厂内，具体地理位置图见附图1。</w:t>
            </w:r>
          </w:p>
          <w:p>
            <w:pPr>
              <w:adjustRightInd w:val="0"/>
              <w:snapToGrid w:val="0"/>
              <w:spacing w:line="360" w:lineRule="auto"/>
              <w:ind w:firstLine="480" w:firstLineChars="200"/>
              <w:rPr>
                <w:sz w:val="24"/>
              </w:rPr>
            </w:pPr>
            <w:r>
              <w:rPr>
                <w:sz w:val="24"/>
              </w:rPr>
              <w:t>2、地形地貌</w:t>
            </w:r>
          </w:p>
          <w:p>
            <w:pPr>
              <w:pStyle w:val="2"/>
              <w:adjustRightInd w:val="0"/>
              <w:snapToGrid w:val="0"/>
              <w:spacing w:line="360" w:lineRule="auto"/>
              <w:ind w:left="0" w:leftChars="0" w:firstLine="480" w:firstLineChars="200"/>
            </w:pPr>
            <w:r>
              <w:rPr>
                <w:rFonts w:hint="eastAsia"/>
              </w:rPr>
              <w:t>柞水县地形特征为西北高，主峰牛背梁海拔2802.1米；东南低，社川河谷最低海拔541米。从西北向东南，山脉延伸尤如五指，唐代诗人贾岛笔下“一山末了一山迎，百里都无半里平”真实的描绘了柞水“九山半水半分田”的自然土石山区地貌。中部是海拔800——1500米的中低山川，以乾佑河、社川河两大水系为主。</w:t>
            </w:r>
          </w:p>
          <w:p>
            <w:pPr>
              <w:adjustRightInd w:val="0"/>
              <w:snapToGrid w:val="0"/>
              <w:spacing w:line="360" w:lineRule="auto"/>
              <w:ind w:firstLine="480" w:firstLineChars="200"/>
              <w:rPr>
                <w:sz w:val="24"/>
              </w:rPr>
            </w:pPr>
            <w:r>
              <w:rPr>
                <w:sz w:val="24"/>
              </w:rPr>
              <w:t>3、气候特征</w:t>
            </w:r>
          </w:p>
          <w:p>
            <w:pPr>
              <w:widowControl/>
              <w:adjustRightInd w:val="0"/>
              <w:snapToGrid w:val="0"/>
              <w:spacing w:line="360" w:lineRule="auto"/>
              <w:ind w:firstLine="480" w:firstLineChars="200"/>
              <w:rPr>
                <w:rFonts w:cs="Calibri"/>
                <w:sz w:val="24"/>
                <w:szCs w:val="22"/>
              </w:rPr>
            </w:pPr>
            <w:r>
              <w:rPr>
                <w:rFonts w:hint="eastAsia" w:cs="Calibri"/>
                <w:sz w:val="24"/>
                <w:szCs w:val="22"/>
              </w:rPr>
              <w:t>柞水为中国西北东线内陆地区，兼有南北气候带的特征，整个县域属亚热带和温暖带两个气候的过渡地带。植被繁衍群落差异明显，适宜多种植物群体的繁衍、进化、生长。全年日照1860.2小时，最冷平均气温0.2℃，最热平均气温23.6℃。极端最高气温37.1℃，最低-13.9℃，无霜期209天，年降水量742mm，最大降水量1225.9mm（83年），最小降水量567.6mm（76年），四季分明，温暖湿润，夏无酷暑，冬无严寒，宜长、短日照和不同温湿度条件下的植物发育生长。</w:t>
            </w:r>
          </w:p>
          <w:p>
            <w:pPr>
              <w:adjustRightInd w:val="0"/>
              <w:snapToGrid w:val="0"/>
              <w:spacing w:line="360" w:lineRule="auto"/>
              <w:ind w:firstLine="480" w:firstLineChars="200"/>
              <w:rPr>
                <w:sz w:val="24"/>
                <w:szCs w:val="20"/>
              </w:rPr>
            </w:pPr>
            <w:r>
              <w:rPr>
                <w:sz w:val="24"/>
                <w:szCs w:val="20"/>
              </w:rPr>
              <w:t>4</w:t>
            </w:r>
            <w:r>
              <w:rPr>
                <w:rFonts w:hint="eastAsia"/>
                <w:sz w:val="24"/>
                <w:szCs w:val="20"/>
              </w:rPr>
              <w:t>、水文特征</w:t>
            </w:r>
          </w:p>
          <w:p>
            <w:pPr>
              <w:adjustRightInd w:val="0"/>
              <w:snapToGrid w:val="0"/>
              <w:spacing w:line="360" w:lineRule="auto"/>
              <w:ind w:firstLine="480" w:firstLineChars="200"/>
              <w:rPr>
                <w:rFonts w:cs="Calibri"/>
                <w:sz w:val="24"/>
                <w:szCs w:val="22"/>
              </w:rPr>
            </w:pPr>
            <w:r>
              <w:rPr>
                <w:rFonts w:hint="eastAsia" w:cs="Calibri"/>
                <w:sz w:val="24"/>
                <w:szCs w:val="22"/>
              </w:rPr>
              <w:t>柞水县境内山青水长，水多药丰。有溪流大小7320条，水域面积占2.8万亩，河流总长5693.4公里。其中10公里以上50条，集水面积在100平方公里以上有9条。平水年计算，全县地表水总流量6.54亿。人均占水量4100m</w:t>
            </w:r>
            <w:r>
              <w:rPr>
                <w:rFonts w:hint="eastAsia" w:cs="Calibri"/>
                <w:sz w:val="24"/>
                <w:szCs w:val="22"/>
                <w:vertAlign w:val="superscript"/>
              </w:rPr>
              <w:t>3</w:t>
            </w:r>
            <w:r>
              <w:rPr>
                <w:rFonts w:hint="eastAsia" w:cs="Calibri"/>
                <w:sz w:val="24"/>
                <w:szCs w:val="22"/>
              </w:rPr>
              <w:t>，为全地区人均3.2倍，是陕西河网密度大，水资源丰沣县之一。主要有乾佑河，金井河，金钱河，社川河，洛河，流域山高谷深，比降大。</w:t>
            </w:r>
          </w:p>
          <w:p>
            <w:pPr>
              <w:pStyle w:val="2"/>
              <w:adjustRightInd w:val="0"/>
              <w:snapToGrid w:val="0"/>
              <w:spacing w:line="360" w:lineRule="auto"/>
              <w:ind w:left="0" w:leftChars="0" w:firstLine="480" w:firstLineChars="200"/>
              <w:rPr>
                <w:rFonts w:cs="Calibri"/>
                <w:szCs w:val="22"/>
              </w:rPr>
            </w:pPr>
            <w:r>
              <w:rPr>
                <w:rFonts w:hint="eastAsia"/>
              </w:rPr>
              <w:t>本项目位于</w:t>
            </w:r>
            <w:r>
              <w:rPr>
                <w:rFonts w:hint="eastAsia"/>
                <w:lang w:val="zh-CN"/>
              </w:rPr>
              <w:t>柞水县盘龙生态产业园区内，距离最近的地表水为</w:t>
            </w:r>
            <w:r>
              <w:rPr>
                <w:rFonts w:hint="eastAsia"/>
              </w:rPr>
              <w:t>七坪河（白火石沟），其穿过麓苑国际大酒店。七坪河是乾佑河支流，乾佑河流长131.6公里，年经流量2.51亿m</w:t>
            </w:r>
            <w:r>
              <w:rPr>
                <w:rFonts w:hint="eastAsia"/>
                <w:vertAlign w:val="superscript"/>
              </w:rPr>
              <w:t>3</w:t>
            </w:r>
            <w:r>
              <w:rPr>
                <w:rFonts w:hint="eastAsia"/>
              </w:rPr>
              <w:t>，汇水面积865.76平方公里，悬落差1037m，最大流量1094m</w:t>
            </w:r>
            <w:r>
              <w:rPr>
                <w:rFonts w:hint="eastAsia"/>
                <w:vertAlign w:val="superscript"/>
              </w:rPr>
              <w:t>3</w:t>
            </w:r>
            <w:r>
              <w:rPr>
                <w:rFonts w:hint="eastAsia"/>
              </w:rPr>
              <w:t>/S；</w:t>
            </w:r>
            <w:r>
              <w:rPr>
                <w:rFonts w:hint="eastAsia" w:cs="Calibri"/>
                <w:szCs w:val="22"/>
              </w:rPr>
              <w:t xml:space="preserve"> </w:t>
            </w:r>
          </w:p>
          <w:p>
            <w:pPr>
              <w:adjustRightInd w:val="0"/>
              <w:snapToGrid w:val="0"/>
              <w:spacing w:line="360" w:lineRule="auto"/>
              <w:ind w:firstLine="480" w:firstLineChars="200"/>
              <w:rPr>
                <w:sz w:val="24"/>
              </w:rPr>
            </w:pPr>
            <w:r>
              <w:rPr>
                <w:rFonts w:hint="eastAsia"/>
                <w:sz w:val="24"/>
              </w:rPr>
              <w:t>5</w:t>
            </w:r>
            <w:r>
              <w:rPr>
                <w:sz w:val="24"/>
              </w:rPr>
              <w:t>、</w:t>
            </w:r>
            <w:r>
              <w:rPr>
                <w:rFonts w:hint="eastAsia"/>
                <w:sz w:val="24"/>
              </w:rPr>
              <w:t>生态环境概况</w:t>
            </w:r>
          </w:p>
          <w:p>
            <w:pPr>
              <w:adjustRightInd w:val="0"/>
              <w:snapToGrid w:val="0"/>
              <w:spacing w:line="360" w:lineRule="auto"/>
              <w:ind w:firstLine="480" w:firstLineChars="200"/>
              <w:rPr>
                <w:rFonts w:cs="Calibri"/>
                <w:sz w:val="24"/>
                <w:szCs w:val="22"/>
              </w:rPr>
            </w:pPr>
            <w:r>
              <w:rPr>
                <w:rFonts w:hint="eastAsia" w:cs="Calibri"/>
                <w:sz w:val="24"/>
                <w:szCs w:val="22"/>
              </w:rPr>
              <w:t>动物：柞水具有明显的由北亚热带向暖温带过渡的自然地理特点，反映在动物区系组成上，南部属东洋界，北部属古北界。由于兼有东洋界和古北界，而以古北界为主，所以区系成分比较复杂。以羚牛、苏门羚、豪猪、青羊、花面狸、猪獾和豹为代表的兽类以及珠颈斑鸠、灰卷尾、锦鸡、竹鸡等为代表的鸟类均为南方种类；以草兔、松鼠等为代表的兽类以及红伯劳、灰眉岩鹀为代表的鸟类，则是北方种类。加之，县内地表结构复杂，植被类型多种多样，为野生动物提供了多种的生境条件，因此，野生动物种类繁多。</w:t>
            </w:r>
          </w:p>
          <w:p>
            <w:pPr>
              <w:adjustRightInd w:val="0"/>
              <w:snapToGrid w:val="0"/>
              <w:spacing w:line="360" w:lineRule="auto"/>
              <w:ind w:firstLine="480" w:firstLineChars="200"/>
              <w:rPr>
                <w:rFonts w:cs="Calibri"/>
                <w:sz w:val="24"/>
                <w:szCs w:val="22"/>
              </w:rPr>
            </w:pPr>
            <w:r>
              <w:rPr>
                <w:rFonts w:hint="eastAsia" w:cs="Calibri"/>
                <w:sz w:val="24"/>
                <w:szCs w:val="22"/>
              </w:rPr>
              <w:t>植物：从西北主峰的苍松林海到中南的经济林带及茂密的农桑，柞水县是绿色的植物库，瑶草山青，琪花药香。从自然地貌特色看，中草药的生成优势优于太白山，更优于关中平原，最主要的一条是柞水处秦岭南坡带，有数次地壳运动变化，年代不同褶皱形态各异，方向不一形成的小区域地形，构成动植物不同生态环境，药物种类繁多。</w:t>
            </w:r>
          </w:p>
          <w:p>
            <w:pPr>
              <w:adjustRightInd w:val="0"/>
              <w:snapToGrid w:val="0"/>
              <w:spacing w:line="360" w:lineRule="auto"/>
              <w:ind w:firstLine="480" w:firstLineChars="200"/>
              <w:rPr>
                <w:rFonts w:cs="Calibri"/>
                <w:sz w:val="24"/>
                <w:szCs w:val="22"/>
              </w:rPr>
            </w:pPr>
            <w:r>
              <w:rPr>
                <w:rFonts w:hint="eastAsia" w:cs="Calibri"/>
                <w:sz w:val="24"/>
                <w:szCs w:val="22"/>
              </w:rPr>
              <w:t>本项目位于柞水县盘龙生态产业园区内，在项目酒店现有锅炉房内进行改造，不涉及珍稀野生动植物及其栖息地等生态环境敏感目标。</w:t>
            </w:r>
          </w:p>
          <w:p>
            <w:pPr>
              <w:pStyle w:val="2"/>
              <w:adjustRightInd w:val="0"/>
              <w:snapToGrid w:val="0"/>
              <w:spacing w:line="360" w:lineRule="auto"/>
            </w:pPr>
          </w:p>
          <w:p>
            <w:pPr>
              <w:pStyle w:val="2"/>
              <w:adjustRightInd w:val="0"/>
              <w:snapToGrid w:val="0"/>
              <w:spacing w:line="360" w:lineRule="auto"/>
            </w:pPr>
          </w:p>
          <w:p>
            <w:pPr>
              <w:pStyle w:val="2"/>
              <w:adjustRightInd w:val="0"/>
              <w:snapToGrid w:val="0"/>
              <w:spacing w:line="360" w:lineRule="auto"/>
            </w:pPr>
          </w:p>
          <w:p>
            <w:pPr>
              <w:pStyle w:val="2"/>
              <w:adjustRightInd w:val="0"/>
              <w:snapToGrid w:val="0"/>
              <w:spacing w:line="360" w:lineRule="auto"/>
            </w:pPr>
          </w:p>
          <w:p>
            <w:pPr>
              <w:pStyle w:val="2"/>
              <w:adjustRightInd w:val="0"/>
              <w:snapToGrid w:val="0"/>
              <w:spacing w:line="360" w:lineRule="auto"/>
            </w:pPr>
          </w:p>
          <w:p>
            <w:pPr>
              <w:pStyle w:val="2"/>
              <w:adjustRightInd w:val="0"/>
              <w:snapToGrid w:val="0"/>
              <w:spacing w:line="360" w:lineRule="auto"/>
            </w:pPr>
          </w:p>
          <w:p>
            <w:pPr>
              <w:pStyle w:val="2"/>
              <w:adjustRightInd w:val="0"/>
              <w:snapToGrid w:val="0"/>
              <w:spacing w:line="360" w:lineRule="auto"/>
            </w:pPr>
          </w:p>
          <w:p>
            <w:pPr>
              <w:pStyle w:val="2"/>
              <w:adjustRightInd w:val="0"/>
              <w:snapToGrid w:val="0"/>
              <w:spacing w:line="360" w:lineRule="auto"/>
            </w:pPr>
          </w:p>
          <w:p>
            <w:pPr>
              <w:pStyle w:val="2"/>
              <w:adjustRightInd w:val="0"/>
              <w:snapToGrid w:val="0"/>
              <w:spacing w:line="360" w:lineRule="auto"/>
            </w:pPr>
          </w:p>
          <w:p>
            <w:pPr>
              <w:pStyle w:val="2"/>
            </w:pPr>
          </w:p>
          <w:p>
            <w:pPr>
              <w:pStyle w:val="2"/>
              <w:ind w:left="0" w:leftChars="0" w:firstLine="0" w:firstLineChars="0"/>
            </w:pPr>
          </w:p>
        </w:tc>
      </w:tr>
    </w:tbl>
    <w:p>
      <w:pPr>
        <w:pStyle w:val="3"/>
        <w:spacing w:before="0" w:after="0" w:line="240" w:lineRule="auto"/>
        <w:rPr>
          <w:rFonts w:ascii="Times New Roman"/>
          <w:sz w:val="28"/>
          <w:szCs w:val="28"/>
        </w:rPr>
      </w:pPr>
      <w:bookmarkStart w:id="18" w:name="_Toc2743"/>
      <w:bookmarkStart w:id="19" w:name="_Toc5113209"/>
      <w:r>
        <w:rPr>
          <w:rFonts w:ascii="Times New Roman"/>
          <w:sz w:val="28"/>
          <w:szCs w:val="28"/>
        </w:rPr>
        <w:t>环境质量状况</w:t>
      </w:r>
      <w:bookmarkEnd w:id="18"/>
      <w:bookmarkEnd w:id="19"/>
    </w:p>
    <w:tbl>
      <w:tblPr>
        <w:tblStyle w:val="2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5" w:hRule="atLeast"/>
        </w:trPr>
        <w:tc>
          <w:tcPr>
            <w:tcW w:w="9286" w:type="dxa"/>
          </w:tcPr>
          <w:p>
            <w:pPr>
              <w:pStyle w:val="10"/>
              <w:adjustRightInd w:val="0"/>
              <w:snapToGrid w:val="0"/>
              <w:spacing w:after="0" w:line="360" w:lineRule="auto"/>
              <w:rPr>
                <w:b/>
                <w:bCs/>
                <w:sz w:val="24"/>
              </w:rPr>
            </w:pPr>
            <w:r>
              <w:rPr>
                <w:b/>
                <w:bCs/>
                <w:sz w:val="24"/>
              </w:rPr>
              <w:t>建设项目所在地区域环境质量现状及主要环境问题</w:t>
            </w:r>
          </w:p>
          <w:p>
            <w:pPr>
              <w:adjustRightInd w:val="0"/>
              <w:snapToGrid w:val="0"/>
              <w:spacing w:line="360" w:lineRule="auto"/>
              <w:rPr>
                <w:b/>
                <w:sz w:val="24"/>
              </w:rPr>
            </w:pPr>
            <w:r>
              <w:rPr>
                <w:rFonts w:hint="eastAsia"/>
                <w:b/>
                <w:sz w:val="24"/>
              </w:rPr>
              <w:t>一、环境空气质量现状</w:t>
            </w:r>
          </w:p>
          <w:p>
            <w:pPr>
              <w:adjustRightInd w:val="0"/>
              <w:snapToGrid w:val="0"/>
              <w:spacing w:line="360" w:lineRule="auto"/>
              <w:ind w:firstLine="480" w:firstLineChars="200"/>
              <w:rPr>
                <w:sz w:val="24"/>
              </w:rPr>
            </w:pPr>
            <w:bookmarkStart w:id="20" w:name="_Hlk6158610"/>
            <w:r>
              <w:rPr>
                <w:rFonts w:hint="eastAsia"/>
                <w:sz w:val="24"/>
              </w:rPr>
              <w:t>根据陕西省生态环境厅办公室2019年1月11日发布的《2018年12月及1-12月全省环境质量状况》，商洛市柞水县 2018年空气质量现状评价表见表5，本项目所在区域空气质量判定结果为达标。</w:t>
            </w:r>
          </w:p>
          <w:p>
            <w:pPr>
              <w:spacing w:line="360" w:lineRule="auto"/>
              <w:jc w:val="center"/>
              <w:outlineLvl w:val="4"/>
              <w:rPr>
                <w:rFonts w:eastAsia="黑体"/>
                <w:sz w:val="24"/>
                <w:szCs w:val="21"/>
              </w:rPr>
            </w:pPr>
            <w:r>
              <w:rPr>
                <w:rFonts w:eastAsia="黑体"/>
                <w:sz w:val="24"/>
                <w:szCs w:val="21"/>
              </w:rPr>
              <w:t>表</w:t>
            </w:r>
            <w:r>
              <w:rPr>
                <w:rFonts w:hint="eastAsia" w:eastAsia="黑体"/>
                <w:sz w:val="24"/>
                <w:szCs w:val="21"/>
              </w:rPr>
              <w:t>5 区域空气质量现状评价表</w:t>
            </w:r>
          </w:p>
          <w:tbl>
            <w:tblPr>
              <w:tblStyle w:val="25"/>
              <w:tblW w:w="84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704"/>
              <w:gridCol w:w="1326"/>
              <w:gridCol w:w="1325"/>
              <w:gridCol w:w="1179"/>
              <w:gridCol w:w="10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Align w:val="center"/>
                </w:tcPr>
                <w:p>
                  <w:pPr>
                    <w:widowControl/>
                    <w:jc w:val="center"/>
                    <w:rPr>
                      <w:kern w:val="0"/>
                      <w:szCs w:val="22"/>
                    </w:rPr>
                  </w:pPr>
                  <w:r>
                    <w:rPr>
                      <w:rFonts w:hint="eastAsia"/>
                      <w:kern w:val="0"/>
                      <w:szCs w:val="22"/>
                    </w:rPr>
                    <w:t>污染物</w:t>
                  </w:r>
                </w:p>
              </w:tc>
              <w:tc>
                <w:tcPr>
                  <w:tcW w:w="2704" w:type="dxa"/>
                  <w:vAlign w:val="center"/>
                </w:tcPr>
                <w:p>
                  <w:pPr>
                    <w:widowControl/>
                    <w:jc w:val="center"/>
                    <w:rPr>
                      <w:kern w:val="0"/>
                      <w:szCs w:val="22"/>
                    </w:rPr>
                  </w:pPr>
                  <w:r>
                    <w:rPr>
                      <w:rFonts w:hint="eastAsia"/>
                      <w:kern w:val="0"/>
                      <w:szCs w:val="22"/>
                    </w:rPr>
                    <w:t>年评价指标</w:t>
                  </w:r>
                </w:p>
              </w:tc>
              <w:tc>
                <w:tcPr>
                  <w:tcW w:w="1326" w:type="dxa"/>
                  <w:vAlign w:val="center"/>
                </w:tcPr>
                <w:p>
                  <w:pPr>
                    <w:widowControl/>
                    <w:jc w:val="center"/>
                    <w:rPr>
                      <w:kern w:val="0"/>
                      <w:szCs w:val="22"/>
                    </w:rPr>
                  </w:pPr>
                  <w:r>
                    <w:rPr>
                      <w:rFonts w:hint="eastAsia"/>
                      <w:kern w:val="0"/>
                      <w:szCs w:val="22"/>
                    </w:rPr>
                    <w:t>现状浓度</w:t>
                  </w:r>
                </w:p>
              </w:tc>
              <w:tc>
                <w:tcPr>
                  <w:tcW w:w="1325" w:type="dxa"/>
                  <w:vAlign w:val="center"/>
                </w:tcPr>
                <w:p>
                  <w:pPr>
                    <w:widowControl/>
                    <w:jc w:val="center"/>
                    <w:rPr>
                      <w:kern w:val="0"/>
                      <w:szCs w:val="22"/>
                    </w:rPr>
                  </w:pPr>
                  <w:r>
                    <w:rPr>
                      <w:rFonts w:hint="eastAsia"/>
                      <w:kern w:val="0"/>
                      <w:szCs w:val="22"/>
                    </w:rPr>
                    <w:t>标准值</w:t>
                  </w:r>
                </w:p>
              </w:tc>
              <w:tc>
                <w:tcPr>
                  <w:tcW w:w="1179" w:type="dxa"/>
                  <w:vAlign w:val="center"/>
                </w:tcPr>
                <w:p>
                  <w:pPr>
                    <w:widowControl/>
                    <w:jc w:val="center"/>
                    <w:rPr>
                      <w:kern w:val="0"/>
                      <w:szCs w:val="22"/>
                    </w:rPr>
                  </w:pPr>
                  <w:r>
                    <w:rPr>
                      <w:rFonts w:hint="eastAsia"/>
                      <w:kern w:val="0"/>
                      <w:szCs w:val="22"/>
                    </w:rPr>
                    <w:t>占标率/%</w:t>
                  </w:r>
                </w:p>
              </w:tc>
              <w:tc>
                <w:tcPr>
                  <w:tcW w:w="1099" w:type="dxa"/>
                  <w:vAlign w:val="center"/>
                </w:tcPr>
                <w:p>
                  <w:pPr>
                    <w:widowControl/>
                    <w:jc w:val="center"/>
                    <w:rPr>
                      <w:kern w:val="0"/>
                      <w:szCs w:val="22"/>
                    </w:rPr>
                  </w:pPr>
                  <w:r>
                    <w:rPr>
                      <w:rFonts w:hint="eastAsia"/>
                      <w:kern w:val="0"/>
                      <w:szCs w:val="22"/>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Align w:val="center"/>
                </w:tcPr>
                <w:p>
                  <w:pPr>
                    <w:widowControl/>
                    <w:jc w:val="center"/>
                    <w:rPr>
                      <w:kern w:val="0"/>
                      <w:szCs w:val="22"/>
                    </w:rPr>
                  </w:pPr>
                  <w:r>
                    <w:rPr>
                      <w:rFonts w:hint="eastAsia"/>
                      <w:kern w:val="0"/>
                      <w:szCs w:val="22"/>
                    </w:rPr>
                    <w:t>PM</w:t>
                  </w:r>
                  <w:r>
                    <w:rPr>
                      <w:rFonts w:hint="eastAsia"/>
                      <w:kern w:val="0"/>
                      <w:szCs w:val="22"/>
                      <w:vertAlign w:val="subscript"/>
                    </w:rPr>
                    <w:t>10</w:t>
                  </w:r>
                </w:p>
              </w:tc>
              <w:tc>
                <w:tcPr>
                  <w:tcW w:w="2704" w:type="dxa"/>
                  <w:vAlign w:val="center"/>
                </w:tcPr>
                <w:p>
                  <w:pPr>
                    <w:widowControl/>
                    <w:jc w:val="center"/>
                    <w:rPr>
                      <w:kern w:val="0"/>
                      <w:szCs w:val="22"/>
                    </w:rPr>
                  </w:pPr>
                  <w:r>
                    <w:rPr>
                      <w:rFonts w:hint="eastAsia"/>
                      <w:kern w:val="0"/>
                      <w:szCs w:val="22"/>
                    </w:rPr>
                    <w:t>年平均质量浓度</w:t>
                  </w:r>
                </w:p>
              </w:tc>
              <w:tc>
                <w:tcPr>
                  <w:tcW w:w="1326" w:type="dxa"/>
                  <w:vAlign w:val="center"/>
                </w:tcPr>
                <w:p>
                  <w:pPr>
                    <w:widowControl/>
                    <w:jc w:val="center"/>
                    <w:rPr>
                      <w:kern w:val="0"/>
                      <w:szCs w:val="22"/>
                    </w:rPr>
                  </w:pPr>
                  <w:r>
                    <w:rPr>
                      <w:rFonts w:hint="eastAsia"/>
                      <w:kern w:val="0"/>
                      <w:szCs w:val="22"/>
                    </w:rPr>
                    <w:t>63μg</w:t>
                  </w:r>
                  <w:r>
                    <w:rPr>
                      <w:kern w:val="0"/>
                      <w:szCs w:val="22"/>
                    </w:rPr>
                    <w:t>/m</w:t>
                  </w:r>
                  <w:r>
                    <w:rPr>
                      <w:kern w:val="0"/>
                      <w:szCs w:val="22"/>
                      <w:vertAlign w:val="superscript"/>
                    </w:rPr>
                    <w:t>3</w:t>
                  </w:r>
                </w:p>
              </w:tc>
              <w:tc>
                <w:tcPr>
                  <w:tcW w:w="1325" w:type="dxa"/>
                  <w:vAlign w:val="center"/>
                </w:tcPr>
                <w:p>
                  <w:pPr>
                    <w:widowControl/>
                    <w:jc w:val="center"/>
                    <w:rPr>
                      <w:kern w:val="0"/>
                      <w:szCs w:val="22"/>
                    </w:rPr>
                  </w:pPr>
                  <w:r>
                    <w:rPr>
                      <w:rFonts w:hint="eastAsia"/>
                      <w:kern w:val="0"/>
                      <w:szCs w:val="22"/>
                    </w:rPr>
                    <w:t>70μg</w:t>
                  </w:r>
                  <w:r>
                    <w:rPr>
                      <w:kern w:val="0"/>
                      <w:szCs w:val="22"/>
                    </w:rPr>
                    <w:t>/m</w:t>
                  </w:r>
                  <w:r>
                    <w:rPr>
                      <w:kern w:val="0"/>
                      <w:szCs w:val="22"/>
                      <w:vertAlign w:val="superscript"/>
                    </w:rPr>
                    <w:t>3</w:t>
                  </w:r>
                </w:p>
              </w:tc>
              <w:tc>
                <w:tcPr>
                  <w:tcW w:w="1179" w:type="dxa"/>
                  <w:vAlign w:val="center"/>
                </w:tcPr>
                <w:p>
                  <w:pPr>
                    <w:widowControl/>
                    <w:jc w:val="center"/>
                    <w:rPr>
                      <w:kern w:val="0"/>
                      <w:szCs w:val="22"/>
                    </w:rPr>
                  </w:pPr>
                  <w:r>
                    <w:rPr>
                      <w:rFonts w:hint="eastAsia"/>
                      <w:kern w:val="0"/>
                      <w:szCs w:val="22"/>
                    </w:rPr>
                    <w:t>90</w:t>
                  </w:r>
                </w:p>
              </w:tc>
              <w:tc>
                <w:tcPr>
                  <w:tcW w:w="1099" w:type="dxa"/>
                  <w:vAlign w:val="center"/>
                </w:tcPr>
                <w:p>
                  <w:pPr>
                    <w:widowControl/>
                    <w:jc w:val="center"/>
                    <w:rPr>
                      <w:kern w:val="0"/>
                      <w:szCs w:val="22"/>
                    </w:rPr>
                  </w:pPr>
                  <w:r>
                    <w:rPr>
                      <w:rFonts w:hint="eastAsia"/>
                      <w:kern w:val="0"/>
                      <w:szCs w:val="22"/>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Align w:val="center"/>
                </w:tcPr>
                <w:p>
                  <w:pPr>
                    <w:widowControl/>
                    <w:jc w:val="center"/>
                    <w:rPr>
                      <w:kern w:val="0"/>
                      <w:szCs w:val="22"/>
                    </w:rPr>
                  </w:pPr>
                  <w:r>
                    <w:rPr>
                      <w:rFonts w:hint="eastAsia"/>
                      <w:kern w:val="0"/>
                      <w:szCs w:val="22"/>
                    </w:rPr>
                    <w:t>PM</w:t>
                  </w:r>
                  <w:r>
                    <w:rPr>
                      <w:rFonts w:hint="eastAsia"/>
                      <w:kern w:val="0"/>
                      <w:szCs w:val="22"/>
                      <w:vertAlign w:val="subscript"/>
                    </w:rPr>
                    <w:t>2.5</w:t>
                  </w:r>
                </w:p>
              </w:tc>
              <w:tc>
                <w:tcPr>
                  <w:tcW w:w="2704" w:type="dxa"/>
                  <w:vAlign w:val="center"/>
                </w:tcPr>
                <w:p>
                  <w:pPr>
                    <w:widowControl/>
                    <w:jc w:val="center"/>
                    <w:rPr>
                      <w:kern w:val="0"/>
                      <w:szCs w:val="22"/>
                    </w:rPr>
                  </w:pPr>
                  <w:r>
                    <w:rPr>
                      <w:rFonts w:hint="eastAsia"/>
                      <w:kern w:val="0"/>
                      <w:szCs w:val="22"/>
                    </w:rPr>
                    <w:t>年平均质量浓度</w:t>
                  </w:r>
                </w:p>
              </w:tc>
              <w:tc>
                <w:tcPr>
                  <w:tcW w:w="1326" w:type="dxa"/>
                  <w:vAlign w:val="center"/>
                </w:tcPr>
                <w:p>
                  <w:pPr>
                    <w:widowControl/>
                    <w:jc w:val="center"/>
                    <w:rPr>
                      <w:kern w:val="0"/>
                      <w:szCs w:val="22"/>
                    </w:rPr>
                  </w:pPr>
                  <w:r>
                    <w:rPr>
                      <w:rFonts w:hint="eastAsia"/>
                      <w:kern w:val="0"/>
                      <w:szCs w:val="22"/>
                    </w:rPr>
                    <w:t>29μg</w:t>
                  </w:r>
                  <w:r>
                    <w:rPr>
                      <w:kern w:val="0"/>
                      <w:szCs w:val="22"/>
                    </w:rPr>
                    <w:t>/m</w:t>
                  </w:r>
                  <w:r>
                    <w:rPr>
                      <w:kern w:val="0"/>
                      <w:szCs w:val="22"/>
                      <w:vertAlign w:val="superscript"/>
                    </w:rPr>
                    <w:t>3</w:t>
                  </w:r>
                </w:p>
              </w:tc>
              <w:tc>
                <w:tcPr>
                  <w:tcW w:w="1325" w:type="dxa"/>
                  <w:vAlign w:val="center"/>
                </w:tcPr>
                <w:p>
                  <w:pPr>
                    <w:widowControl/>
                    <w:jc w:val="center"/>
                    <w:rPr>
                      <w:kern w:val="0"/>
                      <w:szCs w:val="22"/>
                    </w:rPr>
                  </w:pPr>
                  <w:r>
                    <w:rPr>
                      <w:kern w:val="0"/>
                      <w:szCs w:val="22"/>
                    </w:rPr>
                    <w:t>35</w:t>
                  </w:r>
                  <w:r>
                    <w:rPr>
                      <w:rFonts w:hint="eastAsia"/>
                      <w:kern w:val="0"/>
                      <w:szCs w:val="22"/>
                    </w:rPr>
                    <w:t>μg</w:t>
                  </w:r>
                  <w:r>
                    <w:rPr>
                      <w:kern w:val="0"/>
                      <w:szCs w:val="22"/>
                    </w:rPr>
                    <w:t>/m</w:t>
                  </w:r>
                  <w:r>
                    <w:rPr>
                      <w:kern w:val="0"/>
                      <w:szCs w:val="22"/>
                      <w:vertAlign w:val="superscript"/>
                    </w:rPr>
                    <w:t>3</w:t>
                  </w:r>
                </w:p>
              </w:tc>
              <w:tc>
                <w:tcPr>
                  <w:tcW w:w="1179" w:type="dxa"/>
                  <w:vAlign w:val="center"/>
                </w:tcPr>
                <w:p>
                  <w:pPr>
                    <w:widowControl/>
                    <w:jc w:val="center"/>
                    <w:rPr>
                      <w:kern w:val="0"/>
                      <w:szCs w:val="22"/>
                    </w:rPr>
                  </w:pPr>
                  <w:r>
                    <w:rPr>
                      <w:rFonts w:hint="eastAsia"/>
                      <w:kern w:val="0"/>
                      <w:szCs w:val="22"/>
                    </w:rPr>
                    <w:t>83</w:t>
                  </w:r>
                </w:p>
              </w:tc>
              <w:tc>
                <w:tcPr>
                  <w:tcW w:w="1099" w:type="dxa"/>
                  <w:vAlign w:val="center"/>
                </w:tcPr>
                <w:p>
                  <w:pPr>
                    <w:widowControl/>
                    <w:jc w:val="center"/>
                    <w:rPr>
                      <w:kern w:val="0"/>
                      <w:szCs w:val="22"/>
                    </w:rPr>
                  </w:pPr>
                  <w:r>
                    <w:rPr>
                      <w:rFonts w:hint="eastAsia"/>
                      <w:kern w:val="0"/>
                      <w:szCs w:val="22"/>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Align w:val="center"/>
                </w:tcPr>
                <w:p>
                  <w:pPr>
                    <w:widowControl/>
                    <w:jc w:val="center"/>
                    <w:rPr>
                      <w:kern w:val="0"/>
                      <w:szCs w:val="22"/>
                    </w:rPr>
                  </w:pPr>
                  <w:r>
                    <w:rPr>
                      <w:rFonts w:hint="eastAsia"/>
                      <w:kern w:val="0"/>
                      <w:szCs w:val="22"/>
                    </w:rPr>
                    <w:t>SO</w:t>
                  </w:r>
                  <w:r>
                    <w:rPr>
                      <w:rFonts w:hint="eastAsia"/>
                      <w:kern w:val="0"/>
                      <w:szCs w:val="22"/>
                      <w:vertAlign w:val="subscript"/>
                    </w:rPr>
                    <w:t>2</w:t>
                  </w:r>
                </w:p>
              </w:tc>
              <w:tc>
                <w:tcPr>
                  <w:tcW w:w="2704" w:type="dxa"/>
                  <w:vAlign w:val="center"/>
                </w:tcPr>
                <w:p>
                  <w:pPr>
                    <w:widowControl/>
                    <w:jc w:val="center"/>
                    <w:rPr>
                      <w:kern w:val="0"/>
                      <w:szCs w:val="22"/>
                    </w:rPr>
                  </w:pPr>
                  <w:r>
                    <w:rPr>
                      <w:rFonts w:hint="eastAsia"/>
                      <w:kern w:val="0"/>
                      <w:szCs w:val="22"/>
                    </w:rPr>
                    <w:t>年平均质量浓度</w:t>
                  </w:r>
                </w:p>
              </w:tc>
              <w:tc>
                <w:tcPr>
                  <w:tcW w:w="1326" w:type="dxa"/>
                  <w:vAlign w:val="center"/>
                </w:tcPr>
                <w:p>
                  <w:pPr>
                    <w:widowControl/>
                    <w:jc w:val="center"/>
                    <w:rPr>
                      <w:kern w:val="0"/>
                      <w:szCs w:val="22"/>
                    </w:rPr>
                  </w:pPr>
                  <w:r>
                    <w:rPr>
                      <w:rFonts w:hint="eastAsia"/>
                      <w:kern w:val="0"/>
                      <w:szCs w:val="22"/>
                    </w:rPr>
                    <w:t>18μg</w:t>
                  </w:r>
                  <w:r>
                    <w:rPr>
                      <w:kern w:val="0"/>
                      <w:szCs w:val="22"/>
                    </w:rPr>
                    <w:t>/m</w:t>
                  </w:r>
                  <w:r>
                    <w:rPr>
                      <w:kern w:val="0"/>
                      <w:szCs w:val="22"/>
                      <w:vertAlign w:val="superscript"/>
                    </w:rPr>
                    <w:t>3</w:t>
                  </w:r>
                </w:p>
              </w:tc>
              <w:tc>
                <w:tcPr>
                  <w:tcW w:w="1325" w:type="dxa"/>
                  <w:vAlign w:val="center"/>
                </w:tcPr>
                <w:p>
                  <w:pPr>
                    <w:widowControl/>
                    <w:jc w:val="center"/>
                    <w:rPr>
                      <w:kern w:val="0"/>
                      <w:szCs w:val="22"/>
                    </w:rPr>
                  </w:pPr>
                  <w:r>
                    <w:rPr>
                      <w:rFonts w:hint="eastAsia"/>
                      <w:kern w:val="0"/>
                      <w:szCs w:val="22"/>
                    </w:rPr>
                    <w:t>60μg</w:t>
                  </w:r>
                  <w:r>
                    <w:rPr>
                      <w:kern w:val="0"/>
                      <w:szCs w:val="22"/>
                    </w:rPr>
                    <w:t>/m</w:t>
                  </w:r>
                  <w:r>
                    <w:rPr>
                      <w:kern w:val="0"/>
                      <w:szCs w:val="22"/>
                      <w:vertAlign w:val="superscript"/>
                    </w:rPr>
                    <w:t>3</w:t>
                  </w:r>
                </w:p>
              </w:tc>
              <w:tc>
                <w:tcPr>
                  <w:tcW w:w="1179" w:type="dxa"/>
                  <w:vAlign w:val="center"/>
                </w:tcPr>
                <w:p>
                  <w:pPr>
                    <w:widowControl/>
                    <w:jc w:val="center"/>
                    <w:rPr>
                      <w:kern w:val="0"/>
                      <w:szCs w:val="22"/>
                    </w:rPr>
                  </w:pPr>
                  <w:r>
                    <w:rPr>
                      <w:rFonts w:hint="eastAsia"/>
                      <w:kern w:val="0"/>
                      <w:szCs w:val="22"/>
                    </w:rPr>
                    <w:t>30</w:t>
                  </w:r>
                </w:p>
              </w:tc>
              <w:tc>
                <w:tcPr>
                  <w:tcW w:w="1099" w:type="dxa"/>
                  <w:vAlign w:val="center"/>
                </w:tcPr>
                <w:p>
                  <w:pPr>
                    <w:widowControl/>
                    <w:jc w:val="center"/>
                    <w:rPr>
                      <w:kern w:val="0"/>
                      <w:szCs w:val="22"/>
                    </w:rPr>
                  </w:pPr>
                  <w:r>
                    <w:rPr>
                      <w:rFonts w:hint="eastAsia"/>
                      <w:kern w:val="0"/>
                      <w:szCs w:val="22"/>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Align w:val="center"/>
                </w:tcPr>
                <w:p>
                  <w:pPr>
                    <w:widowControl/>
                    <w:jc w:val="center"/>
                    <w:rPr>
                      <w:kern w:val="0"/>
                      <w:szCs w:val="22"/>
                    </w:rPr>
                  </w:pPr>
                  <w:r>
                    <w:rPr>
                      <w:rFonts w:hint="eastAsia"/>
                      <w:kern w:val="0"/>
                      <w:szCs w:val="22"/>
                    </w:rPr>
                    <w:t>NO</w:t>
                  </w:r>
                  <w:r>
                    <w:rPr>
                      <w:rFonts w:hint="eastAsia"/>
                      <w:kern w:val="0"/>
                      <w:szCs w:val="22"/>
                      <w:vertAlign w:val="subscript"/>
                    </w:rPr>
                    <w:t>2</w:t>
                  </w:r>
                </w:p>
              </w:tc>
              <w:tc>
                <w:tcPr>
                  <w:tcW w:w="2704" w:type="dxa"/>
                  <w:vAlign w:val="center"/>
                </w:tcPr>
                <w:p>
                  <w:pPr>
                    <w:widowControl/>
                    <w:jc w:val="center"/>
                    <w:rPr>
                      <w:kern w:val="0"/>
                      <w:szCs w:val="22"/>
                    </w:rPr>
                  </w:pPr>
                  <w:r>
                    <w:rPr>
                      <w:rFonts w:hint="eastAsia"/>
                      <w:kern w:val="0"/>
                      <w:szCs w:val="22"/>
                    </w:rPr>
                    <w:t>年平均质量浓度</w:t>
                  </w:r>
                </w:p>
              </w:tc>
              <w:tc>
                <w:tcPr>
                  <w:tcW w:w="1326" w:type="dxa"/>
                  <w:vAlign w:val="center"/>
                </w:tcPr>
                <w:p>
                  <w:pPr>
                    <w:widowControl/>
                    <w:jc w:val="center"/>
                    <w:rPr>
                      <w:kern w:val="0"/>
                      <w:szCs w:val="22"/>
                    </w:rPr>
                  </w:pPr>
                  <w:r>
                    <w:rPr>
                      <w:rFonts w:hint="eastAsia"/>
                      <w:kern w:val="0"/>
                      <w:szCs w:val="22"/>
                    </w:rPr>
                    <w:t>37μg</w:t>
                  </w:r>
                  <w:r>
                    <w:rPr>
                      <w:kern w:val="0"/>
                      <w:szCs w:val="22"/>
                    </w:rPr>
                    <w:t>/m</w:t>
                  </w:r>
                  <w:r>
                    <w:rPr>
                      <w:kern w:val="0"/>
                      <w:szCs w:val="22"/>
                      <w:vertAlign w:val="superscript"/>
                    </w:rPr>
                    <w:t>3</w:t>
                  </w:r>
                </w:p>
              </w:tc>
              <w:tc>
                <w:tcPr>
                  <w:tcW w:w="1325" w:type="dxa"/>
                  <w:vAlign w:val="center"/>
                </w:tcPr>
                <w:p>
                  <w:pPr>
                    <w:widowControl/>
                    <w:jc w:val="center"/>
                    <w:rPr>
                      <w:kern w:val="0"/>
                      <w:szCs w:val="22"/>
                    </w:rPr>
                  </w:pPr>
                  <w:r>
                    <w:rPr>
                      <w:rFonts w:hint="eastAsia"/>
                      <w:kern w:val="0"/>
                      <w:szCs w:val="22"/>
                    </w:rPr>
                    <w:t>4</w:t>
                  </w:r>
                  <w:r>
                    <w:rPr>
                      <w:kern w:val="0"/>
                      <w:szCs w:val="22"/>
                    </w:rPr>
                    <w:t>0</w:t>
                  </w:r>
                  <w:r>
                    <w:rPr>
                      <w:rFonts w:hint="eastAsia"/>
                      <w:kern w:val="0"/>
                      <w:szCs w:val="22"/>
                    </w:rPr>
                    <w:t>μg</w:t>
                  </w:r>
                  <w:r>
                    <w:rPr>
                      <w:kern w:val="0"/>
                      <w:szCs w:val="22"/>
                    </w:rPr>
                    <w:t>/m</w:t>
                  </w:r>
                  <w:r>
                    <w:rPr>
                      <w:kern w:val="0"/>
                      <w:szCs w:val="22"/>
                      <w:vertAlign w:val="superscript"/>
                    </w:rPr>
                    <w:t>3</w:t>
                  </w:r>
                </w:p>
              </w:tc>
              <w:tc>
                <w:tcPr>
                  <w:tcW w:w="1179" w:type="dxa"/>
                  <w:vAlign w:val="center"/>
                </w:tcPr>
                <w:p>
                  <w:pPr>
                    <w:widowControl/>
                    <w:jc w:val="center"/>
                    <w:rPr>
                      <w:kern w:val="0"/>
                      <w:szCs w:val="22"/>
                    </w:rPr>
                  </w:pPr>
                  <w:r>
                    <w:rPr>
                      <w:rFonts w:hint="eastAsia"/>
                      <w:kern w:val="0"/>
                      <w:szCs w:val="22"/>
                    </w:rPr>
                    <w:t>93</w:t>
                  </w:r>
                </w:p>
              </w:tc>
              <w:tc>
                <w:tcPr>
                  <w:tcW w:w="1099" w:type="dxa"/>
                  <w:vAlign w:val="center"/>
                </w:tcPr>
                <w:p>
                  <w:pPr>
                    <w:widowControl/>
                    <w:jc w:val="center"/>
                    <w:rPr>
                      <w:kern w:val="0"/>
                      <w:szCs w:val="22"/>
                    </w:rPr>
                  </w:pPr>
                  <w:r>
                    <w:rPr>
                      <w:rFonts w:hint="eastAsia"/>
                      <w:kern w:val="0"/>
                      <w:szCs w:val="22"/>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Align w:val="center"/>
                </w:tcPr>
                <w:p>
                  <w:pPr>
                    <w:widowControl/>
                    <w:jc w:val="center"/>
                    <w:rPr>
                      <w:kern w:val="0"/>
                      <w:szCs w:val="22"/>
                    </w:rPr>
                  </w:pPr>
                  <w:r>
                    <w:rPr>
                      <w:rFonts w:hint="eastAsia"/>
                      <w:kern w:val="0"/>
                      <w:szCs w:val="22"/>
                    </w:rPr>
                    <w:t>CO</w:t>
                  </w:r>
                </w:p>
              </w:tc>
              <w:tc>
                <w:tcPr>
                  <w:tcW w:w="2704" w:type="dxa"/>
                  <w:vAlign w:val="center"/>
                </w:tcPr>
                <w:p>
                  <w:pPr>
                    <w:widowControl/>
                    <w:jc w:val="center"/>
                    <w:rPr>
                      <w:kern w:val="0"/>
                      <w:szCs w:val="22"/>
                    </w:rPr>
                  </w:pPr>
                  <w:r>
                    <w:rPr>
                      <w:rFonts w:hint="eastAsia"/>
                      <w:kern w:val="0"/>
                      <w:szCs w:val="22"/>
                    </w:rPr>
                    <w:t>第9</w:t>
                  </w:r>
                  <w:r>
                    <w:rPr>
                      <w:kern w:val="0"/>
                      <w:szCs w:val="22"/>
                    </w:rPr>
                    <w:t>5</w:t>
                  </w:r>
                  <w:r>
                    <w:rPr>
                      <w:rFonts w:hint="eastAsia"/>
                      <w:kern w:val="0"/>
                      <w:szCs w:val="22"/>
                    </w:rPr>
                    <w:t>百分位日平均浓度</w:t>
                  </w:r>
                </w:p>
              </w:tc>
              <w:tc>
                <w:tcPr>
                  <w:tcW w:w="1326" w:type="dxa"/>
                  <w:vAlign w:val="center"/>
                </w:tcPr>
                <w:p>
                  <w:pPr>
                    <w:widowControl/>
                    <w:jc w:val="center"/>
                    <w:rPr>
                      <w:kern w:val="0"/>
                      <w:szCs w:val="22"/>
                    </w:rPr>
                  </w:pPr>
                  <w:r>
                    <w:rPr>
                      <w:rFonts w:hint="eastAsia"/>
                      <w:kern w:val="0"/>
                      <w:szCs w:val="22"/>
                    </w:rPr>
                    <w:t>1.9mg</w:t>
                  </w:r>
                  <w:r>
                    <w:rPr>
                      <w:kern w:val="0"/>
                      <w:szCs w:val="22"/>
                    </w:rPr>
                    <w:t>/m</w:t>
                  </w:r>
                  <w:r>
                    <w:rPr>
                      <w:kern w:val="0"/>
                      <w:szCs w:val="22"/>
                      <w:vertAlign w:val="superscript"/>
                    </w:rPr>
                    <w:t>3</w:t>
                  </w:r>
                </w:p>
              </w:tc>
              <w:tc>
                <w:tcPr>
                  <w:tcW w:w="1325" w:type="dxa"/>
                  <w:vAlign w:val="center"/>
                </w:tcPr>
                <w:p>
                  <w:pPr>
                    <w:widowControl/>
                    <w:jc w:val="center"/>
                    <w:rPr>
                      <w:kern w:val="0"/>
                      <w:szCs w:val="22"/>
                    </w:rPr>
                  </w:pPr>
                  <w:r>
                    <w:rPr>
                      <w:rFonts w:hint="eastAsia"/>
                      <w:kern w:val="0"/>
                      <w:szCs w:val="22"/>
                    </w:rPr>
                    <w:t>4 mg</w:t>
                  </w:r>
                  <w:r>
                    <w:rPr>
                      <w:kern w:val="0"/>
                      <w:szCs w:val="22"/>
                    </w:rPr>
                    <w:t>/m</w:t>
                  </w:r>
                  <w:r>
                    <w:rPr>
                      <w:kern w:val="0"/>
                      <w:szCs w:val="22"/>
                      <w:vertAlign w:val="superscript"/>
                    </w:rPr>
                    <w:t>3</w:t>
                  </w:r>
                </w:p>
              </w:tc>
              <w:tc>
                <w:tcPr>
                  <w:tcW w:w="1179" w:type="dxa"/>
                  <w:vAlign w:val="center"/>
                </w:tcPr>
                <w:p>
                  <w:pPr>
                    <w:widowControl/>
                    <w:jc w:val="center"/>
                    <w:rPr>
                      <w:kern w:val="0"/>
                      <w:szCs w:val="22"/>
                    </w:rPr>
                  </w:pPr>
                  <w:r>
                    <w:rPr>
                      <w:rFonts w:hint="eastAsia"/>
                      <w:kern w:val="0"/>
                      <w:szCs w:val="22"/>
                    </w:rPr>
                    <w:t>48</w:t>
                  </w:r>
                </w:p>
              </w:tc>
              <w:tc>
                <w:tcPr>
                  <w:tcW w:w="1099" w:type="dxa"/>
                  <w:vAlign w:val="center"/>
                </w:tcPr>
                <w:p>
                  <w:pPr>
                    <w:widowControl/>
                    <w:jc w:val="center"/>
                    <w:rPr>
                      <w:kern w:val="0"/>
                      <w:szCs w:val="22"/>
                    </w:rPr>
                  </w:pPr>
                  <w:r>
                    <w:rPr>
                      <w:rFonts w:hint="eastAsia"/>
                      <w:kern w:val="0"/>
                      <w:szCs w:val="22"/>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7" w:type="dxa"/>
                  <w:vAlign w:val="center"/>
                </w:tcPr>
                <w:p>
                  <w:pPr>
                    <w:widowControl/>
                    <w:jc w:val="center"/>
                    <w:rPr>
                      <w:kern w:val="0"/>
                      <w:szCs w:val="22"/>
                    </w:rPr>
                  </w:pPr>
                  <w:r>
                    <w:rPr>
                      <w:kern w:val="0"/>
                      <w:szCs w:val="22"/>
                    </w:rPr>
                    <w:t>O</w:t>
                  </w:r>
                  <w:r>
                    <w:rPr>
                      <w:kern w:val="0"/>
                      <w:szCs w:val="22"/>
                      <w:vertAlign w:val="subscript"/>
                    </w:rPr>
                    <w:t>3</w:t>
                  </w:r>
                </w:p>
              </w:tc>
              <w:tc>
                <w:tcPr>
                  <w:tcW w:w="2704" w:type="dxa"/>
                  <w:vAlign w:val="center"/>
                </w:tcPr>
                <w:p>
                  <w:pPr>
                    <w:widowControl/>
                    <w:jc w:val="center"/>
                    <w:rPr>
                      <w:kern w:val="0"/>
                      <w:szCs w:val="22"/>
                    </w:rPr>
                  </w:pPr>
                  <w:r>
                    <w:rPr>
                      <w:rFonts w:hint="eastAsia"/>
                      <w:kern w:val="0"/>
                      <w:szCs w:val="22"/>
                    </w:rPr>
                    <w:t>8h</w:t>
                  </w:r>
                  <w:r>
                    <w:rPr>
                      <w:kern w:val="0"/>
                      <w:szCs w:val="22"/>
                    </w:rPr>
                    <w:t>第</w:t>
                  </w:r>
                  <w:r>
                    <w:rPr>
                      <w:rFonts w:hint="eastAsia"/>
                      <w:kern w:val="0"/>
                      <w:szCs w:val="22"/>
                    </w:rPr>
                    <w:t>90百分位日平均浓度</w:t>
                  </w:r>
                </w:p>
              </w:tc>
              <w:tc>
                <w:tcPr>
                  <w:tcW w:w="1326" w:type="dxa"/>
                  <w:vAlign w:val="center"/>
                </w:tcPr>
                <w:p>
                  <w:pPr>
                    <w:widowControl/>
                    <w:jc w:val="center"/>
                    <w:rPr>
                      <w:kern w:val="0"/>
                      <w:szCs w:val="22"/>
                    </w:rPr>
                  </w:pPr>
                  <w:r>
                    <w:rPr>
                      <w:rFonts w:hint="eastAsia"/>
                      <w:kern w:val="0"/>
                      <w:szCs w:val="22"/>
                    </w:rPr>
                    <w:t>113μg</w:t>
                  </w:r>
                  <w:r>
                    <w:rPr>
                      <w:kern w:val="0"/>
                      <w:szCs w:val="22"/>
                    </w:rPr>
                    <w:t>/m</w:t>
                  </w:r>
                  <w:r>
                    <w:rPr>
                      <w:kern w:val="0"/>
                      <w:szCs w:val="22"/>
                      <w:vertAlign w:val="superscript"/>
                    </w:rPr>
                    <w:t>3</w:t>
                  </w:r>
                </w:p>
              </w:tc>
              <w:tc>
                <w:tcPr>
                  <w:tcW w:w="1325" w:type="dxa"/>
                  <w:vAlign w:val="center"/>
                </w:tcPr>
                <w:p>
                  <w:pPr>
                    <w:widowControl/>
                    <w:jc w:val="center"/>
                    <w:rPr>
                      <w:kern w:val="0"/>
                      <w:szCs w:val="22"/>
                    </w:rPr>
                  </w:pPr>
                  <w:r>
                    <w:rPr>
                      <w:rFonts w:hint="eastAsia"/>
                      <w:kern w:val="0"/>
                      <w:szCs w:val="22"/>
                    </w:rPr>
                    <w:t>160μg</w:t>
                  </w:r>
                  <w:r>
                    <w:rPr>
                      <w:kern w:val="0"/>
                      <w:szCs w:val="22"/>
                    </w:rPr>
                    <w:t>/m</w:t>
                  </w:r>
                  <w:r>
                    <w:rPr>
                      <w:kern w:val="0"/>
                      <w:szCs w:val="22"/>
                      <w:vertAlign w:val="superscript"/>
                    </w:rPr>
                    <w:t>3</w:t>
                  </w:r>
                </w:p>
              </w:tc>
              <w:tc>
                <w:tcPr>
                  <w:tcW w:w="1179" w:type="dxa"/>
                  <w:vAlign w:val="center"/>
                </w:tcPr>
                <w:p>
                  <w:pPr>
                    <w:widowControl/>
                    <w:jc w:val="center"/>
                    <w:rPr>
                      <w:kern w:val="0"/>
                      <w:szCs w:val="22"/>
                    </w:rPr>
                  </w:pPr>
                  <w:r>
                    <w:rPr>
                      <w:rFonts w:hint="eastAsia"/>
                      <w:kern w:val="0"/>
                      <w:szCs w:val="22"/>
                    </w:rPr>
                    <w:t>71</w:t>
                  </w:r>
                </w:p>
              </w:tc>
              <w:tc>
                <w:tcPr>
                  <w:tcW w:w="1099" w:type="dxa"/>
                  <w:vAlign w:val="center"/>
                </w:tcPr>
                <w:p>
                  <w:pPr>
                    <w:widowControl/>
                    <w:jc w:val="center"/>
                    <w:rPr>
                      <w:kern w:val="0"/>
                      <w:szCs w:val="22"/>
                    </w:rPr>
                  </w:pPr>
                  <w:r>
                    <w:rPr>
                      <w:rFonts w:hint="eastAsia"/>
                      <w:kern w:val="0"/>
                      <w:szCs w:val="22"/>
                    </w:rPr>
                    <w:t>达标</w:t>
                  </w:r>
                </w:p>
              </w:tc>
            </w:tr>
            <w:bookmarkEnd w:id="20"/>
          </w:tbl>
          <w:p>
            <w:pPr>
              <w:pStyle w:val="2"/>
              <w:adjustRightInd w:val="0"/>
              <w:snapToGrid w:val="0"/>
              <w:spacing w:line="360" w:lineRule="auto"/>
              <w:ind w:left="0" w:leftChars="0" w:firstLine="0" w:firstLineChars="0"/>
              <w:rPr>
                <w:b/>
              </w:rPr>
            </w:pPr>
            <w:r>
              <w:rPr>
                <w:rFonts w:hint="eastAsia"/>
                <w:b/>
              </w:rPr>
              <w:t>二、声环境质量现状</w:t>
            </w:r>
          </w:p>
          <w:p>
            <w:pPr>
              <w:adjustRightInd w:val="0"/>
              <w:snapToGrid w:val="0"/>
              <w:spacing w:line="360" w:lineRule="auto"/>
              <w:ind w:firstLine="480" w:firstLineChars="200"/>
              <w:rPr>
                <w:sz w:val="24"/>
              </w:rPr>
            </w:pPr>
            <w:r>
              <w:rPr>
                <w:rFonts w:hint="eastAsia"/>
                <w:sz w:val="24"/>
              </w:rPr>
              <w:t>（1）监测点位</w:t>
            </w:r>
          </w:p>
          <w:p>
            <w:pPr>
              <w:adjustRightInd w:val="0"/>
              <w:snapToGrid w:val="0"/>
              <w:spacing w:line="360" w:lineRule="auto"/>
              <w:ind w:firstLine="480" w:firstLineChars="200"/>
              <w:rPr>
                <w:sz w:val="24"/>
              </w:rPr>
            </w:pPr>
            <w:r>
              <w:rPr>
                <w:rFonts w:hint="eastAsia"/>
                <w:sz w:val="24"/>
              </w:rPr>
              <w:t>按照《环境影响评价技术导则•声环境》（HJ2.4-2009）规定，结合项目平面布局，声环境质量现状监测共设5个监测点位，具体监测点的布设见附图4。</w:t>
            </w:r>
          </w:p>
          <w:p>
            <w:pPr>
              <w:adjustRightInd w:val="0"/>
              <w:snapToGrid w:val="0"/>
              <w:spacing w:line="360" w:lineRule="auto"/>
              <w:ind w:firstLine="480" w:firstLineChars="200"/>
              <w:rPr>
                <w:sz w:val="24"/>
              </w:rPr>
            </w:pPr>
            <w:r>
              <w:rPr>
                <w:rFonts w:hint="eastAsia"/>
                <w:sz w:val="24"/>
              </w:rPr>
              <w:t>（2）监测时间与频率</w:t>
            </w:r>
          </w:p>
          <w:p>
            <w:pPr>
              <w:adjustRightInd w:val="0"/>
              <w:snapToGrid w:val="0"/>
              <w:spacing w:line="360" w:lineRule="auto"/>
              <w:ind w:firstLine="480" w:firstLineChars="200"/>
              <w:rPr>
                <w:sz w:val="24"/>
              </w:rPr>
            </w:pPr>
            <w:r>
              <w:rPr>
                <w:rFonts w:hint="eastAsia"/>
                <w:sz w:val="24"/>
              </w:rPr>
              <w:t>声环境监测于201</w:t>
            </w:r>
            <w:r>
              <w:rPr>
                <w:sz w:val="24"/>
              </w:rPr>
              <w:t>9</w:t>
            </w:r>
            <w:r>
              <w:rPr>
                <w:rFonts w:hint="eastAsia"/>
                <w:sz w:val="24"/>
              </w:rPr>
              <w:t>年3月</w:t>
            </w:r>
            <w:r>
              <w:rPr>
                <w:sz w:val="24"/>
              </w:rPr>
              <w:t>2</w:t>
            </w:r>
            <w:r>
              <w:rPr>
                <w:rFonts w:hint="eastAsia"/>
                <w:sz w:val="24"/>
              </w:rPr>
              <w:t>8日~201</w:t>
            </w:r>
            <w:r>
              <w:rPr>
                <w:sz w:val="24"/>
              </w:rPr>
              <w:t>9</w:t>
            </w:r>
            <w:r>
              <w:rPr>
                <w:rFonts w:hint="eastAsia"/>
                <w:sz w:val="24"/>
              </w:rPr>
              <w:t>年3月</w:t>
            </w:r>
            <w:r>
              <w:rPr>
                <w:sz w:val="24"/>
              </w:rPr>
              <w:t>2</w:t>
            </w:r>
            <w:r>
              <w:rPr>
                <w:rFonts w:hint="eastAsia"/>
                <w:sz w:val="24"/>
              </w:rPr>
              <w:t>9日，分昼间和夜间使用AWA5688型多功能声级计（TYJC-YQ-024）、AWA6221B声校准器（TYJC-YQ-037）两次监测连续等效A声级。</w:t>
            </w:r>
          </w:p>
          <w:p>
            <w:pPr>
              <w:adjustRightInd w:val="0"/>
              <w:snapToGrid w:val="0"/>
              <w:spacing w:line="360" w:lineRule="auto"/>
              <w:ind w:firstLine="480" w:firstLineChars="200"/>
              <w:rPr>
                <w:sz w:val="24"/>
              </w:rPr>
            </w:pPr>
            <w:r>
              <w:rPr>
                <w:rFonts w:hint="eastAsia"/>
                <w:sz w:val="24"/>
              </w:rPr>
              <w:t>（3）监测结果汇总及分析</w:t>
            </w:r>
          </w:p>
          <w:p>
            <w:pPr>
              <w:adjustRightInd w:val="0"/>
              <w:snapToGrid w:val="0"/>
              <w:spacing w:line="360" w:lineRule="auto"/>
              <w:ind w:firstLine="480" w:firstLineChars="200"/>
              <w:rPr>
                <w:b/>
                <w:sz w:val="24"/>
              </w:rPr>
            </w:pPr>
            <w:r>
              <w:rPr>
                <w:rFonts w:hint="eastAsia"/>
                <w:sz w:val="24"/>
              </w:rPr>
              <w:t>声环境质量监测统计结果如表6所示。监测结果表明，项目所在区域噪声监测值均符合《声环境质量标准》（GB3096-2008）2类标准。</w:t>
            </w:r>
          </w:p>
          <w:p>
            <w:pPr>
              <w:spacing w:line="360" w:lineRule="auto"/>
              <w:jc w:val="center"/>
              <w:outlineLvl w:val="4"/>
              <w:rPr>
                <w:rFonts w:eastAsia="黑体"/>
                <w:sz w:val="24"/>
                <w:szCs w:val="21"/>
              </w:rPr>
            </w:pPr>
            <w:r>
              <w:rPr>
                <w:rFonts w:hint="eastAsia" w:eastAsia="黑体"/>
                <w:sz w:val="24"/>
                <w:szCs w:val="21"/>
              </w:rPr>
              <w:t>表6 噪声监测结果</w:t>
            </w:r>
            <w:r>
              <w:rPr>
                <w:rFonts w:eastAsia="黑体"/>
                <w:sz w:val="24"/>
                <w:szCs w:val="21"/>
              </w:rPr>
              <w:t xml:space="preserve"> </w:t>
            </w:r>
            <w:r>
              <w:rPr>
                <w:rFonts w:hint="eastAsia" w:eastAsia="黑体"/>
                <w:sz w:val="24"/>
                <w:szCs w:val="21"/>
              </w:rPr>
              <w:t>单位：Leq dB(A)</w:t>
            </w:r>
          </w:p>
          <w:tbl>
            <w:tblPr>
              <w:tblStyle w:val="25"/>
              <w:tblW w:w="819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386"/>
              <w:gridCol w:w="1261"/>
              <w:gridCol w:w="1417"/>
              <w:gridCol w:w="1292"/>
              <w:gridCol w:w="12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Merge w:val="restart"/>
                  <w:vAlign w:val="center"/>
                </w:tcPr>
                <w:p>
                  <w:pPr>
                    <w:widowControl/>
                    <w:jc w:val="center"/>
                    <w:rPr>
                      <w:kern w:val="0"/>
                      <w:szCs w:val="22"/>
                    </w:rPr>
                  </w:pPr>
                  <w:r>
                    <w:rPr>
                      <w:rFonts w:hint="eastAsia"/>
                      <w:kern w:val="0"/>
                      <w:szCs w:val="22"/>
                    </w:rPr>
                    <w:t>监测点位</w:t>
                  </w:r>
                </w:p>
              </w:tc>
              <w:tc>
                <w:tcPr>
                  <w:tcW w:w="2647" w:type="dxa"/>
                  <w:gridSpan w:val="2"/>
                  <w:vAlign w:val="center"/>
                </w:tcPr>
                <w:p>
                  <w:pPr>
                    <w:widowControl/>
                    <w:jc w:val="center"/>
                    <w:rPr>
                      <w:kern w:val="0"/>
                      <w:szCs w:val="22"/>
                    </w:rPr>
                  </w:pPr>
                  <w:r>
                    <w:rPr>
                      <w:kern w:val="0"/>
                      <w:szCs w:val="22"/>
                    </w:rPr>
                    <w:t>2019.</w:t>
                  </w:r>
                  <w:r>
                    <w:rPr>
                      <w:rFonts w:hint="eastAsia"/>
                      <w:kern w:val="0"/>
                      <w:szCs w:val="22"/>
                    </w:rPr>
                    <w:t>3</w:t>
                  </w:r>
                  <w:r>
                    <w:rPr>
                      <w:kern w:val="0"/>
                      <w:szCs w:val="22"/>
                    </w:rPr>
                    <w:t>.</w:t>
                  </w:r>
                  <w:r>
                    <w:rPr>
                      <w:rFonts w:hint="eastAsia"/>
                      <w:kern w:val="0"/>
                      <w:szCs w:val="22"/>
                    </w:rPr>
                    <w:t>28</w:t>
                  </w:r>
                </w:p>
              </w:tc>
              <w:tc>
                <w:tcPr>
                  <w:tcW w:w="2709" w:type="dxa"/>
                  <w:gridSpan w:val="2"/>
                </w:tcPr>
                <w:p>
                  <w:pPr>
                    <w:widowControl/>
                    <w:jc w:val="center"/>
                    <w:rPr>
                      <w:kern w:val="0"/>
                      <w:szCs w:val="22"/>
                    </w:rPr>
                  </w:pPr>
                  <w:r>
                    <w:rPr>
                      <w:kern w:val="0"/>
                      <w:szCs w:val="22"/>
                    </w:rPr>
                    <w:t>2019.</w:t>
                  </w:r>
                  <w:r>
                    <w:rPr>
                      <w:rFonts w:hint="eastAsia"/>
                      <w:kern w:val="0"/>
                      <w:szCs w:val="22"/>
                    </w:rPr>
                    <w:t>3</w:t>
                  </w:r>
                  <w:r>
                    <w:rPr>
                      <w:kern w:val="0"/>
                      <w:szCs w:val="22"/>
                    </w:rPr>
                    <w:t>.2</w:t>
                  </w:r>
                  <w:r>
                    <w:rPr>
                      <w:rFonts w:hint="eastAsia"/>
                      <w:kern w:val="0"/>
                      <w:szCs w:val="22"/>
                    </w:rPr>
                    <w:t>9</w:t>
                  </w:r>
                </w:p>
              </w:tc>
              <w:tc>
                <w:tcPr>
                  <w:tcW w:w="1271" w:type="dxa"/>
                  <w:vMerge w:val="restart"/>
                  <w:vAlign w:val="center"/>
                </w:tcPr>
                <w:p>
                  <w:pPr>
                    <w:widowControl/>
                    <w:jc w:val="center"/>
                    <w:rPr>
                      <w:kern w:val="0"/>
                      <w:szCs w:val="22"/>
                    </w:rPr>
                  </w:pPr>
                  <w:r>
                    <w:rPr>
                      <w:rFonts w:hint="eastAsia"/>
                      <w:kern w:val="0"/>
                      <w:szCs w:val="22"/>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Merge w:val="continue"/>
                  <w:vAlign w:val="center"/>
                </w:tcPr>
                <w:p>
                  <w:pPr>
                    <w:widowControl/>
                    <w:jc w:val="center"/>
                    <w:rPr>
                      <w:kern w:val="0"/>
                      <w:szCs w:val="22"/>
                    </w:rPr>
                  </w:pPr>
                </w:p>
              </w:tc>
              <w:tc>
                <w:tcPr>
                  <w:tcW w:w="1386" w:type="dxa"/>
                  <w:vAlign w:val="center"/>
                </w:tcPr>
                <w:p>
                  <w:pPr>
                    <w:widowControl/>
                    <w:jc w:val="center"/>
                    <w:rPr>
                      <w:kern w:val="0"/>
                      <w:szCs w:val="22"/>
                    </w:rPr>
                  </w:pPr>
                  <w:r>
                    <w:rPr>
                      <w:rFonts w:hint="eastAsia"/>
                      <w:kern w:val="0"/>
                      <w:szCs w:val="22"/>
                    </w:rPr>
                    <w:t>昼间</w:t>
                  </w:r>
                </w:p>
              </w:tc>
              <w:tc>
                <w:tcPr>
                  <w:tcW w:w="1261" w:type="dxa"/>
                  <w:vAlign w:val="center"/>
                </w:tcPr>
                <w:p>
                  <w:pPr>
                    <w:widowControl/>
                    <w:jc w:val="center"/>
                    <w:rPr>
                      <w:kern w:val="0"/>
                      <w:szCs w:val="22"/>
                    </w:rPr>
                  </w:pPr>
                  <w:r>
                    <w:rPr>
                      <w:rFonts w:hint="eastAsia"/>
                      <w:kern w:val="0"/>
                      <w:szCs w:val="22"/>
                    </w:rPr>
                    <w:t>夜间</w:t>
                  </w:r>
                </w:p>
              </w:tc>
              <w:tc>
                <w:tcPr>
                  <w:tcW w:w="1417" w:type="dxa"/>
                  <w:vAlign w:val="center"/>
                </w:tcPr>
                <w:p>
                  <w:pPr>
                    <w:widowControl/>
                    <w:jc w:val="center"/>
                    <w:rPr>
                      <w:kern w:val="0"/>
                      <w:szCs w:val="22"/>
                    </w:rPr>
                  </w:pPr>
                  <w:r>
                    <w:rPr>
                      <w:rFonts w:hint="eastAsia"/>
                      <w:kern w:val="0"/>
                      <w:szCs w:val="22"/>
                    </w:rPr>
                    <w:t>昼间</w:t>
                  </w:r>
                </w:p>
              </w:tc>
              <w:tc>
                <w:tcPr>
                  <w:tcW w:w="1292" w:type="dxa"/>
                  <w:vAlign w:val="center"/>
                </w:tcPr>
                <w:p>
                  <w:pPr>
                    <w:widowControl/>
                    <w:jc w:val="center"/>
                    <w:rPr>
                      <w:kern w:val="0"/>
                      <w:szCs w:val="22"/>
                    </w:rPr>
                  </w:pPr>
                  <w:r>
                    <w:rPr>
                      <w:rFonts w:hint="eastAsia"/>
                      <w:kern w:val="0"/>
                      <w:szCs w:val="22"/>
                    </w:rPr>
                    <w:t>夜间</w:t>
                  </w:r>
                </w:p>
              </w:tc>
              <w:tc>
                <w:tcPr>
                  <w:tcW w:w="1271" w:type="dxa"/>
                  <w:vMerge w:val="continue"/>
                  <w:vAlign w:val="center"/>
                </w:tcPr>
                <w:p>
                  <w:pPr>
                    <w:widowControl/>
                    <w:jc w:val="center"/>
                    <w:rPr>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Align w:val="center"/>
                </w:tcPr>
                <w:p>
                  <w:pPr>
                    <w:widowControl/>
                    <w:jc w:val="center"/>
                    <w:rPr>
                      <w:kern w:val="0"/>
                      <w:szCs w:val="22"/>
                    </w:rPr>
                  </w:pPr>
                  <w:r>
                    <w:rPr>
                      <w:rFonts w:hint="eastAsia"/>
                      <w:kern w:val="0"/>
                      <w:szCs w:val="22"/>
                    </w:rPr>
                    <w:t>1#</w:t>
                  </w:r>
                  <w:r>
                    <w:rPr>
                      <w:kern w:val="0"/>
                      <w:szCs w:val="22"/>
                    </w:rPr>
                    <w:t>厂界</w:t>
                  </w:r>
                  <w:r>
                    <w:rPr>
                      <w:rFonts w:hint="eastAsia"/>
                      <w:kern w:val="0"/>
                      <w:szCs w:val="22"/>
                    </w:rPr>
                    <w:t>北</w:t>
                  </w:r>
                </w:p>
              </w:tc>
              <w:tc>
                <w:tcPr>
                  <w:tcW w:w="1386" w:type="dxa"/>
                  <w:vAlign w:val="center"/>
                </w:tcPr>
                <w:p>
                  <w:pPr>
                    <w:widowControl/>
                    <w:jc w:val="center"/>
                    <w:rPr>
                      <w:kern w:val="0"/>
                      <w:szCs w:val="21"/>
                    </w:rPr>
                  </w:pPr>
                  <w:r>
                    <w:rPr>
                      <w:rFonts w:hint="eastAsia"/>
                      <w:kern w:val="0"/>
                      <w:szCs w:val="21"/>
                    </w:rPr>
                    <w:t>51.4</w:t>
                  </w:r>
                </w:p>
              </w:tc>
              <w:tc>
                <w:tcPr>
                  <w:tcW w:w="1261" w:type="dxa"/>
                  <w:vAlign w:val="center"/>
                </w:tcPr>
                <w:p>
                  <w:pPr>
                    <w:widowControl/>
                    <w:jc w:val="center"/>
                    <w:rPr>
                      <w:kern w:val="0"/>
                      <w:szCs w:val="21"/>
                    </w:rPr>
                  </w:pPr>
                  <w:r>
                    <w:rPr>
                      <w:rFonts w:hint="eastAsia"/>
                      <w:kern w:val="0"/>
                      <w:szCs w:val="21"/>
                    </w:rPr>
                    <w:t>42.3</w:t>
                  </w:r>
                </w:p>
              </w:tc>
              <w:tc>
                <w:tcPr>
                  <w:tcW w:w="1417" w:type="dxa"/>
                  <w:vAlign w:val="center"/>
                </w:tcPr>
                <w:p>
                  <w:pPr>
                    <w:widowControl/>
                    <w:jc w:val="center"/>
                    <w:rPr>
                      <w:kern w:val="0"/>
                      <w:szCs w:val="21"/>
                    </w:rPr>
                  </w:pPr>
                  <w:r>
                    <w:rPr>
                      <w:rFonts w:hint="eastAsia"/>
                      <w:kern w:val="0"/>
                      <w:szCs w:val="21"/>
                    </w:rPr>
                    <w:t>52.6</w:t>
                  </w:r>
                </w:p>
              </w:tc>
              <w:tc>
                <w:tcPr>
                  <w:tcW w:w="1292" w:type="dxa"/>
                  <w:vAlign w:val="center"/>
                </w:tcPr>
                <w:p>
                  <w:pPr>
                    <w:widowControl/>
                    <w:jc w:val="center"/>
                    <w:rPr>
                      <w:kern w:val="0"/>
                      <w:szCs w:val="21"/>
                    </w:rPr>
                  </w:pPr>
                  <w:r>
                    <w:rPr>
                      <w:rFonts w:hint="eastAsia"/>
                      <w:kern w:val="0"/>
                      <w:szCs w:val="21"/>
                    </w:rPr>
                    <w:t>42.4</w:t>
                  </w:r>
                </w:p>
              </w:tc>
              <w:tc>
                <w:tcPr>
                  <w:tcW w:w="1271" w:type="dxa"/>
                  <w:vMerge w:val="restart"/>
                  <w:vAlign w:val="center"/>
                </w:tcPr>
                <w:p>
                  <w:pPr>
                    <w:widowControl/>
                    <w:jc w:val="center"/>
                    <w:rPr>
                      <w:kern w:val="0"/>
                      <w:szCs w:val="22"/>
                    </w:rPr>
                  </w:pPr>
                  <w:r>
                    <w:rPr>
                      <w:rFonts w:hint="eastAsia"/>
                      <w:kern w:val="0"/>
                      <w:szCs w:val="22"/>
                    </w:rPr>
                    <w:t>昼间</w:t>
                  </w:r>
                  <w:r>
                    <w:rPr>
                      <w:kern w:val="0"/>
                      <w:szCs w:val="22"/>
                    </w:rPr>
                    <w:t>6</w:t>
                  </w:r>
                  <w:r>
                    <w:rPr>
                      <w:rFonts w:hint="eastAsia"/>
                      <w:kern w:val="0"/>
                      <w:szCs w:val="22"/>
                    </w:rPr>
                    <w:t>0</w:t>
                  </w:r>
                </w:p>
                <w:p>
                  <w:pPr>
                    <w:widowControl/>
                    <w:jc w:val="center"/>
                    <w:rPr>
                      <w:kern w:val="0"/>
                      <w:szCs w:val="22"/>
                    </w:rPr>
                  </w:pPr>
                  <w:r>
                    <w:rPr>
                      <w:rFonts w:hint="eastAsia"/>
                      <w:kern w:val="0"/>
                      <w:szCs w:val="22"/>
                    </w:rPr>
                    <w:t>夜间</w:t>
                  </w:r>
                  <w:r>
                    <w:rPr>
                      <w:kern w:val="0"/>
                      <w:szCs w:val="22"/>
                    </w:rPr>
                    <w:t>5</w:t>
                  </w:r>
                  <w:r>
                    <w:rPr>
                      <w:rFonts w:hint="eastAsia"/>
                      <w:kern w:val="0"/>
                      <w:szCs w:val="22"/>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Align w:val="center"/>
                </w:tcPr>
                <w:p>
                  <w:pPr>
                    <w:widowControl/>
                    <w:jc w:val="center"/>
                    <w:rPr>
                      <w:kern w:val="0"/>
                      <w:szCs w:val="22"/>
                    </w:rPr>
                  </w:pPr>
                  <w:r>
                    <w:rPr>
                      <w:rFonts w:hint="eastAsia"/>
                      <w:kern w:val="0"/>
                      <w:szCs w:val="22"/>
                    </w:rPr>
                    <w:t>2#</w:t>
                  </w:r>
                  <w:r>
                    <w:rPr>
                      <w:kern w:val="0"/>
                      <w:szCs w:val="22"/>
                    </w:rPr>
                    <w:t>厂界</w:t>
                  </w:r>
                  <w:r>
                    <w:rPr>
                      <w:rFonts w:hint="eastAsia"/>
                      <w:kern w:val="0"/>
                      <w:szCs w:val="22"/>
                    </w:rPr>
                    <w:t>西</w:t>
                  </w:r>
                </w:p>
              </w:tc>
              <w:tc>
                <w:tcPr>
                  <w:tcW w:w="1386" w:type="dxa"/>
                  <w:vAlign w:val="center"/>
                </w:tcPr>
                <w:p>
                  <w:pPr>
                    <w:widowControl/>
                    <w:jc w:val="center"/>
                    <w:rPr>
                      <w:kern w:val="0"/>
                      <w:szCs w:val="21"/>
                    </w:rPr>
                  </w:pPr>
                  <w:r>
                    <w:rPr>
                      <w:rFonts w:hint="eastAsia"/>
                      <w:kern w:val="0"/>
                      <w:szCs w:val="21"/>
                    </w:rPr>
                    <w:t>50.3</w:t>
                  </w:r>
                </w:p>
              </w:tc>
              <w:tc>
                <w:tcPr>
                  <w:tcW w:w="1261" w:type="dxa"/>
                  <w:vAlign w:val="center"/>
                </w:tcPr>
                <w:p>
                  <w:pPr>
                    <w:widowControl/>
                    <w:jc w:val="center"/>
                    <w:rPr>
                      <w:kern w:val="0"/>
                      <w:szCs w:val="21"/>
                    </w:rPr>
                  </w:pPr>
                  <w:r>
                    <w:rPr>
                      <w:rFonts w:hint="eastAsia"/>
                      <w:kern w:val="0"/>
                      <w:szCs w:val="21"/>
                    </w:rPr>
                    <w:t>40.7</w:t>
                  </w:r>
                </w:p>
              </w:tc>
              <w:tc>
                <w:tcPr>
                  <w:tcW w:w="1417" w:type="dxa"/>
                  <w:vAlign w:val="center"/>
                </w:tcPr>
                <w:p>
                  <w:pPr>
                    <w:widowControl/>
                    <w:jc w:val="center"/>
                    <w:rPr>
                      <w:kern w:val="0"/>
                      <w:szCs w:val="21"/>
                    </w:rPr>
                  </w:pPr>
                  <w:r>
                    <w:rPr>
                      <w:rFonts w:hint="eastAsia"/>
                      <w:kern w:val="0"/>
                      <w:szCs w:val="21"/>
                    </w:rPr>
                    <w:t>50.9</w:t>
                  </w:r>
                </w:p>
              </w:tc>
              <w:tc>
                <w:tcPr>
                  <w:tcW w:w="1292" w:type="dxa"/>
                  <w:vAlign w:val="center"/>
                </w:tcPr>
                <w:p>
                  <w:pPr>
                    <w:widowControl/>
                    <w:jc w:val="center"/>
                    <w:rPr>
                      <w:kern w:val="0"/>
                      <w:szCs w:val="21"/>
                    </w:rPr>
                  </w:pPr>
                  <w:r>
                    <w:rPr>
                      <w:rFonts w:hint="eastAsia"/>
                      <w:kern w:val="0"/>
                      <w:szCs w:val="21"/>
                    </w:rPr>
                    <w:t>40.6</w:t>
                  </w:r>
                </w:p>
              </w:tc>
              <w:tc>
                <w:tcPr>
                  <w:tcW w:w="1271" w:type="dxa"/>
                  <w:vMerge w:val="continue"/>
                  <w:vAlign w:val="center"/>
                </w:tcPr>
                <w:p>
                  <w:pPr>
                    <w:widowControl/>
                    <w:jc w:val="center"/>
                    <w:rPr>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Align w:val="center"/>
                </w:tcPr>
                <w:p>
                  <w:pPr>
                    <w:widowControl/>
                    <w:jc w:val="center"/>
                    <w:rPr>
                      <w:kern w:val="0"/>
                      <w:szCs w:val="22"/>
                    </w:rPr>
                  </w:pPr>
                  <w:r>
                    <w:rPr>
                      <w:rFonts w:hint="eastAsia"/>
                      <w:kern w:val="0"/>
                      <w:szCs w:val="22"/>
                    </w:rPr>
                    <w:t>3#</w:t>
                  </w:r>
                  <w:r>
                    <w:rPr>
                      <w:kern w:val="0"/>
                      <w:szCs w:val="22"/>
                    </w:rPr>
                    <w:t>厂界</w:t>
                  </w:r>
                  <w:r>
                    <w:rPr>
                      <w:rFonts w:hint="eastAsia"/>
                      <w:kern w:val="0"/>
                      <w:szCs w:val="22"/>
                    </w:rPr>
                    <w:t>南</w:t>
                  </w:r>
                </w:p>
              </w:tc>
              <w:tc>
                <w:tcPr>
                  <w:tcW w:w="1386" w:type="dxa"/>
                  <w:vAlign w:val="center"/>
                </w:tcPr>
                <w:p>
                  <w:pPr>
                    <w:widowControl/>
                    <w:jc w:val="center"/>
                    <w:rPr>
                      <w:kern w:val="0"/>
                      <w:szCs w:val="21"/>
                    </w:rPr>
                  </w:pPr>
                  <w:r>
                    <w:rPr>
                      <w:rFonts w:hint="eastAsia"/>
                      <w:kern w:val="0"/>
                      <w:szCs w:val="21"/>
                    </w:rPr>
                    <w:t>48.6</w:t>
                  </w:r>
                </w:p>
              </w:tc>
              <w:tc>
                <w:tcPr>
                  <w:tcW w:w="1261" w:type="dxa"/>
                  <w:vAlign w:val="center"/>
                </w:tcPr>
                <w:p>
                  <w:pPr>
                    <w:widowControl/>
                    <w:jc w:val="center"/>
                    <w:rPr>
                      <w:kern w:val="0"/>
                      <w:szCs w:val="21"/>
                    </w:rPr>
                  </w:pPr>
                  <w:r>
                    <w:rPr>
                      <w:rFonts w:hint="eastAsia"/>
                      <w:kern w:val="0"/>
                      <w:szCs w:val="21"/>
                    </w:rPr>
                    <w:t>40.2</w:t>
                  </w:r>
                </w:p>
              </w:tc>
              <w:tc>
                <w:tcPr>
                  <w:tcW w:w="1417" w:type="dxa"/>
                  <w:vAlign w:val="center"/>
                </w:tcPr>
                <w:p>
                  <w:pPr>
                    <w:widowControl/>
                    <w:jc w:val="center"/>
                    <w:rPr>
                      <w:kern w:val="0"/>
                      <w:szCs w:val="21"/>
                    </w:rPr>
                  </w:pPr>
                  <w:r>
                    <w:rPr>
                      <w:rFonts w:hint="eastAsia"/>
                      <w:kern w:val="0"/>
                      <w:szCs w:val="21"/>
                    </w:rPr>
                    <w:t>49.3</w:t>
                  </w:r>
                </w:p>
              </w:tc>
              <w:tc>
                <w:tcPr>
                  <w:tcW w:w="1292" w:type="dxa"/>
                  <w:vAlign w:val="center"/>
                </w:tcPr>
                <w:p>
                  <w:pPr>
                    <w:widowControl/>
                    <w:jc w:val="center"/>
                    <w:rPr>
                      <w:kern w:val="0"/>
                      <w:szCs w:val="21"/>
                    </w:rPr>
                  </w:pPr>
                  <w:r>
                    <w:rPr>
                      <w:rFonts w:hint="eastAsia"/>
                      <w:kern w:val="0"/>
                      <w:szCs w:val="21"/>
                    </w:rPr>
                    <w:t>40.5</w:t>
                  </w:r>
                </w:p>
              </w:tc>
              <w:tc>
                <w:tcPr>
                  <w:tcW w:w="1271" w:type="dxa"/>
                  <w:vMerge w:val="continue"/>
                  <w:vAlign w:val="center"/>
                </w:tcPr>
                <w:p>
                  <w:pPr>
                    <w:widowControl/>
                    <w:jc w:val="center"/>
                    <w:rPr>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Align w:val="center"/>
                </w:tcPr>
                <w:p>
                  <w:pPr>
                    <w:widowControl/>
                    <w:jc w:val="center"/>
                    <w:rPr>
                      <w:kern w:val="0"/>
                      <w:szCs w:val="22"/>
                    </w:rPr>
                  </w:pPr>
                  <w:r>
                    <w:rPr>
                      <w:rFonts w:hint="eastAsia"/>
                      <w:kern w:val="0"/>
                      <w:szCs w:val="22"/>
                    </w:rPr>
                    <w:t>4#</w:t>
                  </w:r>
                  <w:r>
                    <w:rPr>
                      <w:kern w:val="0"/>
                      <w:szCs w:val="22"/>
                    </w:rPr>
                    <w:t>厂界</w:t>
                  </w:r>
                  <w:r>
                    <w:rPr>
                      <w:rFonts w:hint="eastAsia"/>
                      <w:kern w:val="0"/>
                      <w:szCs w:val="22"/>
                    </w:rPr>
                    <w:t>东</w:t>
                  </w:r>
                </w:p>
              </w:tc>
              <w:tc>
                <w:tcPr>
                  <w:tcW w:w="1386" w:type="dxa"/>
                  <w:vAlign w:val="center"/>
                </w:tcPr>
                <w:p>
                  <w:pPr>
                    <w:widowControl/>
                    <w:jc w:val="center"/>
                    <w:rPr>
                      <w:kern w:val="0"/>
                      <w:szCs w:val="21"/>
                    </w:rPr>
                  </w:pPr>
                  <w:r>
                    <w:rPr>
                      <w:rFonts w:hint="eastAsia"/>
                      <w:kern w:val="0"/>
                      <w:szCs w:val="21"/>
                    </w:rPr>
                    <w:t>51.1</w:t>
                  </w:r>
                </w:p>
              </w:tc>
              <w:tc>
                <w:tcPr>
                  <w:tcW w:w="1261" w:type="dxa"/>
                  <w:vAlign w:val="center"/>
                </w:tcPr>
                <w:p>
                  <w:pPr>
                    <w:widowControl/>
                    <w:jc w:val="center"/>
                    <w:rPr>
                      <w:kern w:val="0"/>
                      <w:szCs w:val="21"/>
                    </w:rPr>
                  </w:pPr>
                  <w:r>
                    <w:rPr>
                      <w:rFonts w:hint="eastAsia"/>
                      <w:kern w:val="0"/>
                      <w:szCs w:val="21"/>
                    </w:rPr>
                    <w:t>41.5</w:t>
                  </w:r>
                </w:p>
              </w:tc>
              <w:tc>
                <w:tcPr>
                  <w:tcW w:w="1417" w:type="dxa"/>
                  <w:vAlign w:val="center"/>
                </w:tcPr>
                <w:p>
                  <w:pPr>
                    <w:widowControl/>
                    <w:jc w:val="center"/>
                    <w:rPr>
                      <w:kern w:val="0"/>
                      <w:szCs w:val="21"/>
                    </w:rPr>
                  </w:pPr>
                  <w:r>
                    <w:rPr>
                      <w:rFonts w:hint="eastAsia"/>
                      <w:kern w:val="0"/>
                      <w:szCs w:val="21"/>
                    </w:rPr>
                    <w:t>51.6</w:t>
                  </w:r>
                </w:p>
              </w:tc>
              <w:tc>
                <w:tcPr>
                  <w:tcW w:w="1292" w:type="dxa"/>
                  <w:vAlign w:val="center"/>
                </w:tcPr>
                <w:p>
                  <w:pPr>
                    <w:widowControl/>
                    <w:jc w:val="center"/>
                    <w:rPr>
                      <w:kern w:val="0"/>
                      <w:szCs w:val="21"/>
                    </w:rPr>
                  </w:pPr>
                  <w:r>
                    <w:rPr>
                      <w:rFonts w:hint="eastAsia"/>
                      <w:kern w:val="0"/>
                      <w:szCs w:val="21"/>
                    </w:rPr>
                    <w:t>41.9</w:t>
                  </w:r>
                </w:p>
              </w:tc>
              <w:tc>
                <w:tcPr>
                  <w:tcW w:w="1271" w:type="dxa"/>
                  <w:vMerge w:val="continue"/>
                  <w:vAlign w:val="center"/>
                </w:tcPr>
                <w:p>
                  <w:pPr>
                    <w:widowControl/>
                    <w:jc w:val="center"/>
                    <w:rPr>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2" w:type="dxa"/>
                  <w:vAlign w:val="center"/>
                </w:tcPr>
                <w:p>
                  <w:pPr>
                    <w:widowControl/>
                    <w:jc w:val="center"/>
                    <w:rPr>
                      <w:kern w:val="0"/>
                      <w:szCs w:val="22"/>
                    </w:rPr>
                  </w:pPr>
                  <w:r>
                    <w:rPr>
                      <w:rFonts w:hint="eastAsia"/>
                      <w:kern w:val="0"/>
                      <w:szCs w:val="22"/>
                    </w:rPr>
                    <w:t>5#马房子住户</w:t>
                  </w:r>
                </w:p>
              </w:tc>
              <w:tc>
                <w:tcPr>
                  <w:tcW w:w="1386" w:type="dxa"/>
                  <w:vAlign w:val="center"/>
                </w:tcPr>
                <w:p>
                  <w:pPr>
                    <w:widowControl/>
                    <w:jc w:val="center"/>
                    <w:rPr>
                      <w:kern w:val="0"/>
                      <w:szCs w:val="21"/>
                    </w:rPr>
                  </w:pPr>
                  <w:r>
                    <w:rPr>
                      <w:rFonts w:hint="eastAsia"/>
                      <w:kern w:val="0"/>
                      <w:szCs w:val="21"/>
                    </w:rPr>
                    <w:t>51.2</w:t>
                  </w:r>
                </w:p>
              </w:tc>
              <w:tc>
                <w:tcPr>
                  <w:tcW w:w="1261" w:type="dxa"/>
                  <w:vAlign w:val="center"/>
                </w:tcPr>
                <w:p>
                  <w:pPr>
                    <w:widowControl/>
                    <w:jc w:val="center"/>
                    <w:rPr>
                      <w:kern w:val="0"/>
                      <w:szCs w:val="21"/>
                    </w:rPr>
                  </w:pPr>
                  <w:r>
                    <w:rPr>
                      <w:rFonts w:hint="eastAsia"/>
                      <w:kern w:val="0"/>
                      <w:szCs w:val="21"/>
                    </w:rPr>
                    <w:t>41.7</w:t>
                  </w:r>
                </w:p>
              </w:tc>
              <w:tc>
                <w:tcPr>
                  <w:tcW w:w="1417" w:type="dxa"/>
                  <w:vAlign w:val="center"/>
                </w:tcPr>
                <w:p>
                  <w:pPr>
                    <w:widowControl/>
                    <w:jc w:val="center"/>
                    <w:rPr>
                      <w:kern w:val="0"/>
                      <w:szCs w:val="21"/>
                    </w:rPr>
                  </w:pPr>
                  <w:r>
                    <w:rPr>
                      <w:rFonts w:hint="eastAsia"/>
                      <w:kern w:val="0"/>
                      <w:szCs w:val="21"/>
                    </w:rPr>
                    <w:t>51.8</w:t>
                  </w:r>
                </w:p>
              </w:tc>
              <w:tc>
                <w:tcPr>
                  <w:tcW w:w="1292" w:type="dxa"/>
                  <w:vAlign w:val="center"/>
                </w:tcPr>
                <w:p>
                  <w:pPr>
                    <w:widowControl/>
                    <w:jc w:val="center"/>
                    <w:rPr>
                      <w:kern w:val="0"/>
                      <w:szCs w:val="21"/>
                    </w:rPr>
                  </w:pPr>
                  <w:r>
                    <w:rPr>
                      <w:rFonts w:hint="eastAsia"/>
                      <w:kern w:val="0"/>
                      <w:szCs w:val="21"/>
                    </w:rPr>
                    <w:t>41.3</w:t>
                  </w:r>
                </w:p>
              </w:tc>
              <w:tc>
                <w:tcPr>
                  <w:tcW w:w="1271" w:type="dxa"/>
                  <w:vMerge w:val="continue"/>
                  <w:vAlign w:val="center"/>
                </w:tcPr>
                <w:p>
                  <w:pPr>
                    <w:widowControl/>
                    <w:jc w:val="center"/>
                    <w:rPr>
                      <w:kern w:val="0"/>
                      <w:szCs w:val="22"/>
                    </w:rPr>
                  </w:pPr>
                </w:p>
              </w:tc>
            </w:tr>
          </w:tbl>
          <w:p>
            <w:pPr>
              <w:pStyle w:val="2"/>
              <w:adjustRightInd w:val="0"/>
              <w:snapToGrid w:val="0"/>
              <w:spacing w:line="360" w:lineRule="auto"/>
              <w:ind w:left="0" w:leftChars="0" w:firstLine="432" w:firstLineChars="1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9286" w:type="dxa"/>
          </w:tcPr>
          <w:p>
            <w:pPr>
              <w:spacing w:line="348" w:lineRule="auto"/>
              <w:rPr>
                <w:b/>
                <w:bCs/>
                <w:sz w:val="24"/>
              </w:rPr>
            </w:pPr>
            <w:r>
              <w:rPr>
                <w:b/>
                <w:bCs/>
                <w:sz w:val="24"/>
              </w:rPr>
              <w:t>主要环境保护目标(列出名单及保护级别)：</w:t>
            </w:r>
          </w:p>
          <w:p>
            <w:pPr>
              <w:spacing w:line="360" w:lineRule="auto"/>
              <w:ind w:firstLine="480" w:firstLineChars="200"/>
              <w:rPr>
                <w:sz w:val="24"/>
              </w:rPr>
            </w:pPr>
            <w:r>
              <w:rPr>
                <w:rFonts w:hint="eastAsia"/>
                <w:sz w:val="24"/>
              </w:rPr>
              <w:t>经过现场勘查，本项目大气环境保护目标为以项目厂址为中心区域，边长5km的矩形区域。水环境保护目标为七坪河。项目环境保护目标见表7。</w:t>
            </w:r>
          </w:p>
          <w:p>
            <w:pPr>
              <w:spacing w:line="360" w:lineRule="auto"/>
              <w:jc w:val="center"/>
              <w:rPr>
                <w:b/>
                <w:sz w:val="24"/>
              </w:rPr>
            </w:pPr>
            <w:bookmarkStart w:id="21" w:name="_Hlk6158752"/>
            <w:r>
              <w:rPr>
                <w:rFonts w:eastAsia="黑体"/>
                <w:b/>
                <w:sz w:val="24"/>
              </w:rPr>
              <w:t>表</w:t>
            </w:r>
            <w:r>
              <w:rPr>
                <w:rFonts w:hint="eastAsia"/>
                <w:b/>
                <w:sz w:val="24"/>
              </w:rPr>
              <w:t>7</w:t>
            </w:r>
            <w:r>
              <w:rPr>
                <w:b/>
                <w:sz w:val="24"/>
              </w:rPr>
              <w:t xml:space="preserve"> </w:t>
            </w:r>
            <w:r>
              <w:rPr>
                <w:rFonts w:eastAsia="黑体"/>
                <w:sz w:val="24"/>
                <w:szCs w:val="21"/>
              </w:rPr>
              <w:t>环境保护目标及保护级别</w:t>
            </w:r>
          </w:p>
          <w:tbl>
            <w:tblPr>
              <w:tblStyle w:val="25"/>
              <w:tblW w:w="82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94"/>
              <w:gridCol w:w="1134"/>
              <w:gridCol w:w="631"/>
              <w:gridCol w:w="991"/>
              <w:gridCol w:w="991"/>
              <w:gridCol w:w="1570"/>
              <w:gridCol w:w="17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664" w:hRule="atLeast"/>
                <w:jc w:val="center"/>
              </w:trPr>
              <w:tc>
                <w:tcPr>
                  <w:tcW w:w="1194" w:type="dxa"/>
                  <w:vAlign w:val="center"/>
                </w:tcPr>
                <w:p>
                  <w:pPr>
                    <w:adjustRightInd w:val="0"/>
                    <w:snapToGrid w:val="0"/>
                    <w:jc w:val="center"/>
                    <w:rPr>
                      <w:szCs w:val="21"/>
                    </w:rPr>
                  </w:pPr>
                  <w:r>
                    <w:rPr>
                      <w:rFonts w:hint="eastAsia"/>
                      <w:szCs w:val="21"/>
                    </w:rPr>
                    <w:t>环境要素</w:t>
                  </w:r>
                </w:p>
              </w:tc>
              <w:tc>
                <w:tcPr>
                  <w:tcW w:w="1134" w:type="dxa"/>
                  <w:vAlign w:val="center"/>
                </w:tcPr>
                <w:p>
                  <w:pPr>
                    <w:adjustRightInd w:val="0"/>
                    <w:snapToGrid w:val="0"/>
                    <w:jc w:val="center"/>
                    <w:rPr>
                      <w:szCs w:val="21"/>
                    </w:rPr>
                  </w:pPr>
                  <w:r>
                    <w:rPr>
                      <w:rFonts w:hint="eastAsia"/>
                      <w:szCs w:val="21"/>
                    </w:rPr>
                    <w:t>名称</w:t>
                  </w:r>
                </w:p>
              </w:tc>
              <w:tc>
                <w:tcPr>
                  <w:tcW w:w="631" w:type="dxa"/>
                  <w:vAlign w:val="center"/>
                </w:tcPr>
                <w:p>
                  <w:pPr>
                    <w:adjustRightInd w:val="0"/>
                    <w:snapToGrid w:val="0"/>
                    <w:jc w:val="center"/>
                    <w:rPr>
                      <w:szCs w:val="21"/>
                    </w:rPr>
                  </w:pPr>
                  <w:r>
                    <w:rPr>
                      <w:rFonts w:hint="eastAsia"/>
                      <w:szCs w:val="21"/>
                    </w:rPr>
                    <w:t>保护对象</w:t>
                  </w:r>
                </w:p>
              </w:tc>
              <w:tc>
                <w:tcPr>
                  <w:tcW w:w="991" w:type="dxa"/>
                  <w:vAlign w:val="center"/>
                </w:tcPr>
                <w:p>
                  <w:pPr>
                    <w:adjustRightInd w:val="0"/>
                    <w:snapToGrid w:val="0"/>
                    <w:jc w:val="center"/>
                    <w:rPr>
                      <w:szCs w:val="21"/>
                    </w:rPr>
                  </w:pPr>
                  <w:r>
                    <w:rPr>
                      <w:rFonts w:hint="eastAsia"/>
                      <w:szCs w:val="21"/>
                    </w:rPr>
                    <w:t>保护内容</w:t>
                  </w:r>
                </w:p>
              </w:tc>
              <w:tc>
                <w:tcPr>
                  <w:tcW w:w="991" w:type="dxa"/>
                  <w:vAlign w:val="center"/>
                </w:tcPr>
                <w:p>
                  <w:pPr>
                    <w:adjustRightInd w:val="0"/>
                    <w:snapToGrid w:val="0"/>
                    <w:jc w:val="center"/>
                    <w:rPr>
                      <w:szCs w:val="21"/>
                    </w:rPr>
                  </w:pPr>
                  <w:r>
                    <w:rPr>
                      <w:rFonts w:hint="eastAsia"/>
                      <w:szCs w:val="21"/>
                    </w:rPr>
                    <w:t>环境功能区</w:t>
                  </w:r>
                </w:p>
              </w:tc>
              <w:tc>
                <w:tcPr>
                  <w:tcW w:w="1570" w:type="dxa"/>
                  <w:vAlign w:val="center"/>
                </w:tcPr>
                <w:p>
                  <w:pPr>
                    <w:adjustRightInd w:val="0"/>
                    <w:snapToGrid w:val="0"/>
                    <w:jc w:val="center"/>
                    <w:rPr>
                      <w:szCs w:val="21"/>
                    </w:rPr>
                  </w:pPr>
                  <w:r>
                    <w:rPr>
                      <w:rFonts w:hint="eastAsia"/>
                      <w:szCs w:val="21"/>
                    </w:rPr>
                    <w:t>相对锅炉房方位</w:t>
                  </w:r>
                </w:p>
              </w:tc>
              <w:tc>
                <w:tcPr>
                  <w:tcW w:w="1775" w:type="dxa"/>
                  <w:vAlign w:val="center"/>
                </w:tcPr>
                <w:p>
                  <w:pPr>
                    <w:adjustRightInd w:val="0"/>
                    <w:snapToGrid w:val="0"/>
                    <w:jc w:val="center"/>
                    <w:rPr>
                      <w:szCs w:val="21"/>
                    </w:rPr>
                  </w:pPr>
                  <w:r>
                    <w:rPr>
                      <w:rFonts w:hint="eastAsia"/>
                      <w:szCs w:val="21"/>
                    </w:rPr>
                    <w:t>距锅炉房厂界距离（m）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22" w:hRule="atLeast"/>
                <w:jc w:val="center"/>
              </w:trPr>
              <w:tc>
                <w:tcPr>
                  <w:tcW w:w="1194" w:type="dxa"/>
                  <w:vMerge w:val="restart"/>
                  <w:vAlign w:val="center"/>
                </w:tcPr>
                <w:p>
                  <w:pPr>
                    <w:adjustRightInd w:val="0"/>
                    <w:snapToGrid w:val="0"/>
                    <w:jc w:val="center"/>
                    <w:rPr>
                      <w:bCs/>
                      <w:szCs w:val="21"/>
                    </w:rPr>
                  </w:pPr>
                  <w:r>
                    <w:rPr>
                      <w:rFonts w:hint="eastAsia"/>
                      <w:bCs/>
                      <w:szCs w:val="21"/>
                    </w:rPr>
                    <w:t>环境空气</w:t>
                  </w:r>
                </w:p>
              </w:tc>
              <w:tc>
                <w:tcPr>
                  <w:tcW w:w="1134" w:type="dxa"/>
                  <w:vAlign w:val="center"/>
                </w:tcPr>
                <w:p>
                  <w:pPr>
                    <w:adjustRightInd w:val="0"/>
                    <w:snapToGrid w:val="0"/>
                    <w:jc w:val="center"/>
                    <w:rPr>
                      <w:bCs/>
                      <w:szCs w:val="21"/>
                    </w:rPr>
                  </w:pPr>
                  <w:r>
                    <w:rPr>
                      <w:rFonts w:hint="eastAsia"/>
                      <w:bCs/>
                      <w:szCs w:val="21"/>
                    </w:rPr>
                    <w:t>马房子村</w:t>
                  </w:r>
                </w:p>
              </w:tc>
              <w:tc>
                <w:tcPr>
                  <w:tcW w:w="631" w:type="dxa"/>
                  <w:vMerge w:val="restart"/>
                  <w:vAlign w:val="center"/>
                </w:tcPr>
                <w:p>
                  <w:pPr>
                    <w:pStyle w:val="19"/>
                    <w:adjustRightInd w:val="0"/>
                    <w:snapToGrid w:val="0"/>
                    <w:spacing w:line="240" w:lineRule="auto"/>
                    <w:ind w:firstLine="0" w:firstLineChars="0"/>
                    <w:jc w:val="center"/>
                    <w:rPr>
                      <w:rFonts w:ascii="Times New Roman"/>
                      <w:sz w:val="21"/>
                      <w:szCs w:val="21"/>
                    </w:rPr>
                  </w:pPr>
                  <w:r>
                    <w:rPr>
                      <w:rFonts w:hint="eastAsia" w:ascii="Times New Roman"/>
                      <w:sz w:val="21"/>
                      <w:szCs w:val="21"/>
                    </w:rPr>
                    <w:t>人群</w:t>
                  </w:r>
                </w:p>
                <w:p>
                  <w:pPr>
                    <w:pStyle w:val="19"/>
                    <w:adjustRightInd w:val="0"/>
                    <w:snapToGrid w:val="0"/>
                    <w:spacing w:line="240" w:lineRule="auto"/>
                    <w:ind w:firstLine="420"/>
                    <w:jc w:val="center"/>
                    <w:rPr>
                      <w:rFonts w:ascii="Times New Roman"/>
                      <w:sz w:val="21"/>
                      <w:szCs w:val="21"/>
                    </w:rPr>
                  </w:pPr>
                </w:p>
              </w:tc>
              <w:tc>
                <w:tcPr>
                  <w:tcW w:w="991" w:type="dxa"/>
                  <w:vMerge w:val="restart"/>
                  <w:vAlign w:val="center"/>
                </w:tcPr>
                <w:p>
                  <w:pPr>
                    <w:pStyle w:val="19"/>
                    <w:adjustRightInd w:val="0"/>
                    <w:snapToGrid w:val="0"/>
                    <w:spacing w:line="240" w:lineRule="auto"/>
                    <w:ind w:firstLine="0" w:firstLineChars="0"/>
                    <w:jc w:val="center"/>
                    <w:rPr>
                      <w:rFonts w:ascii="Times New Roman"/>
                      <w:sz w:val="21"/>
                      <w:szCs w:val="21"/>
                    </w:rPr>
                  </w:pPr>
                  <w:r>
                    <w:rPr>
                      <w:rFonts w:hint="eastAsia" w:ascii="Times New Roman"/>
                      <w:sz w:val="21"/>
                      <w:szCs w:val="21"/>
                    </w:rPr>
                    <w:t>环境空气</w:t>
                  </w:r>
                </w:p>
                <w:p>
                  <w:pPr>
                    <w:pStyle w:val="19"/>
                    <w:adjustRightInd w:val="0"/>
                    <w:snapToGrid w:val="0"/>
                    <w:spacing w:line="240" w:lineRule="auto"/>
                    <w:ind w:firstLine="420"/>
                    <w:jc w:val="center"/>
                    <w:rPr>
                      <w:rFonts w:ascii="Times New Roman"/>
                      <w:sz w:val="21"/>
                      <w:szCs w:val="21"/>
                    </w:rPr>
                  </w:pPr>
                </w:p>
              </w:tc>
              <w:tc>
                <w:tcPr>
                  <w:tcW w:w="991" w:type="dxa"/>
                  <w:vMerge w:val="restart"/>
                  <w:vAlign w:val="center"/>
                </w:tcPr>
                <w:p>
                  <w:pPr>
                    <w:pStyle w:val="19"/>
                    <w:adjustRightInd w:val="0"/>
                    <w:snapToGrid w:val="0"/>
                    <w:spacing w:line="240" w:lineRule="auto"/>
                    <w:ind w:firstLine="0" w:firstLineChars="0"/>
                    <w:jc w:val="center"/>
                    <w:rPr>
                      <w:rFonts w:ascii="Times New Roman"/>
                      <w:sz w:val="21"/>
                      <w:szCs w:val="21"/>
                    </w:rPr>
                  </w:pPr>
                  <w:r>
                    <w:rPr>
                      <w:rFonts w:hint="eastAsia" w:ascii="Times New Roman"/>
                      <w:sz w:val="21"/>
                      <w:szCs w:val="21"/>
                    </w:rPr>
                    <w:t>二类</w:t>
                  </w:r>
                </w:p>
                <w:p>
                  <w:pPr>
                    <w:pStyle w:val="19"/>
                    <w:adjustRightInd w:val="0"/>
                    <w:snapToGrid w:val="0"/>
                    <w:spacing w:line="240" w:lineRule="auto"/>
                    <w:ind w:firstLine="420"/>
                    <w:jc w:val="center"/>
                    <w:rPr>
                      <w:rFonts w:ascii="Times New Roman"/>
                      <w:sz w:val="21"/>
                      <w:szCs w:val="21"/>
                    </w:rPr>
                  </w:pPr>
                </w:p>
              </w:tc>
              <w:tc>
                <w:tcPr>
                  <w:tcW w:w="1570" w:type="dxa"/>
                  <w:vAlign w:val="center"/>
                </w:tcPr>
                <w:p>
                  <w:pPr>
                    <w:adjustRightInd w:val="0"/>
                    <w:snapToGrid w:val="0"/>
                    <w:jc w:val="center"/>
                    <w:rPr>
                      <w:szCs w:val="21"/>
                    </w:rPr>
                  </w:pPr>
                  <w:r>
                    <w:rPr>
                      <w:rFonts w:hint="eastAsia"/>
                      <w:szCs w:val="21"/>
                    </w:rPr>
                    <w:t>N</w:t>
                  </w:r>
                </w:p>
              </w:tc>
              <w:tc>
                <w:tcPr>
                  <w:tcW w:w="1775" w:type="dxa"/>
                  <w:vAlign w:val="center"/>
                </w:tcPr>
                <w:p>
                  <w:pPr>
                    <w:adjustRightInd w:val="0"/>
                    <w:snapToGrid w:val="0"/>
                    <w:jc w:val="center"/>
                    <w:rPr>
                      <w:szCs w:val="21"/>
                    </w:rPr>
                  </w:pPr>
                  <w:r>
                    <w:rPr>
                      <w:rFonts w:hint="eastAsia"/>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26" w:hRule="atLeast"/>
                <w:jc w:val="center"/>
              </w:trPr>
              <w:tc>
                <w:tcPr>
                  <w:tcW w:w="1194" w:type="dxa"/>
                  <w:vMerge w:val="continue"/>
                </w:tcPr>
                <w:p>
                  <w:pPr>
                    <w:adjustRightInd w:val="0"/>
                    <w:snapToGrid w:val="0"/>
                    <w:jc w:val="center"/>
                    <w:rPr>
                      <w:bCs/>
                      <w:szCs w:val="21"/>
                    </w:rPr>
                  </w:pPr>
                </w:p>
              </w:tc>
              <w:tc>
                <w:tcPr>
                  <w:tcW w:w="1134" w:type="dxa"/>
                  <w:vAlign w:val="center"/>
                </w:tcPr>
                <w:p>
                  <w:pPr>
                    <w:adjustRightInd w:val="0"/>
                    <w:snapToGrid w:val="0"/>
                    <w:jc w:val="center"/>
                    <w:rPr>
                      <w:bCs/>
                      <w:szCs w:val="21"/>
                    </w:rPr>
                  </w:pPr>
                  <w:r>
                    <w:rPr>
                      <w:rFonts w:hint="eastAsia"/>
                      <w:bCs/>
                      <w:szCs w:val="21"/>
                    </w:rPr>
                    <w:t>石镇村</w:t>
                  </w:r>
                </w:p>
              </w:tc>
              <w:tc>
                <w:tcPr>
                  <w:tcW w:w="631" w:type="dxa"/>
                  <w:vMerge w:val="continue"/>
                  <w:vAlign w:val="center"/>
                </w:tcPr>
                <w:p>
                  <w:pPr>
                    <w:pStyle w:val="19"/>
                    <w:adjustRightInd w:val="0"/>
                    <w:snapToGrid w:val="0"/>
                    <w:spacing w:line="240" w:lineRule="auto"/>
                    <w:ind w:firstLine="0" w:firstLineChars="0"/>
                    <w:jc w:val="center"/>
                    <w:rPr>
                      <w:rFonts w:ascii="Times New Roman"/>
                      <w:sz w:val="21"/>
                      <w:szCs w:val="21"/>
                    </w:rPr>
                  </w:pPr>
                </w:p>
              </w:tc>
              <w:tc>
                <w:tcPr>
                  <w:tcW w:w="991" w:type="dxa"/>
                  <w:vMerge w:val="continue"/>
                </w:tcPr>
                <w:p>
                  <w:pPr>
                    <w:pStyle w:val="19"/>
                    <w:adjustRightInd w:val="0"/>
                    <w:snapToGrid w:val="0"/>
                    <w:spacing w:line="240" w:lineRule="auto"/>
                    <w:ind w:firstLine="0" w:firstLineChars="0"/>
                    <w:jc w:val="center"/>
                    <w:rPr>
                      <w:rFonts w:ascii="Times New Roman"/>
                      <w:sz w:val="21"/>
                      <w:szCs w:val="21"/>
                    </w:rPr>
                  </w:pPr>
                </w:p>
              </w:tc>
              <w:tc>
                <w:tcPr>
                  <w:tcW w:w="991" w:type="dxa"/>
                  <w:vMerge w:val="continue"/>
                  <w:vAlign w:val="center"/>
                </w:tcPr>
                <w:p>
                  <w:pPr>
                    <w:pStyle w:val="19"/>
                    <w:adjustRightInd w:val="0"/>
                    <w:snapToGrid w:val="0"/>
                    <w:spacing w:line="240" w:lineRule="auto"/>
                    <w:ind w:firstLine="420"/>
                    <w:jc w:val="center"/>
                    <w:rPr>
                      <w:rFonts w:ascii="Times New Roman"/>
                      <w:sz w:val="21"/>
                      <w:szCs w:val="21"/>
                    </w:rPr>
                  </w:pPr>
                </w:p>
              </w:tc>
              <w:tc>
                <w:tcPr>
                  <w:tcW w:w="1570" w:type="dxa"/>
                  <w:vAlign w:val="center"/>
                </w:tcPr>
                <w:p>
                  <w:pPr>
                    <w:adjustRightInd w:val="0"/>
                    <w:snapToGrid w:val="0"/>
                    <w:jc w:val="center"/>
                    <w:rPr>
                      <w:szCs w:val="21"/>
                    </w:rPr>
                  </w:pPr>
                  <w:r>
                    <w:rPr>
                      <w:rFonts w:hint="eastAsia"/>
                      <w:szCs w:val="21"/>
                    </w:rPr>
                    <w:t>S</w:t>
                  </w:r>
                  <w:r>
                    <w:rPr>
                      <w:szCs w:val="21"/>
                    </w:rPr>
                    <w:t>E</w:t>
                  </w:r>
                </w:p>
              </w:tc>
              <w:tc>
                <w:tcPr>
                  <w:tcW w:w="1775" w:type="dxa"/>
                  <w:vAlign w:val="center"/>
                </w:tcPr>
                <w:p>
                  <w:pPr>
                    <w:adjustRightInd w:val="0"/>
                    <w:snapToGrid w:val="0"/>
                    <w:jc w:val="center"/>
                    <w:rPr>
                      <w:szCs w:val="21"/>
                    </w:rPr>
                  </w:pPr>
                  <w:r>
                    <w:rPr>
                      <w:rFonts w:hint="eastAsia"/>
                      <w:szCs w:val="21"/>
                    </w:rPr>
                    <w:t>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26" w:hRule="atLeast"/>
                <w:jc w:val="center"/>
              </w:trPr>
              <w:tc>
                <w:tcPr>
                  <w:tcW w:w="1194" w:type="dxa"/>
                  <w:vMerge w:val="continue"/>
                </w:tcPr>
                <w:p>
                  <w:pPr>
                    <w:adjustRightInd w:val="0"/>
                    <w:snapToGrid w:val="0"/>
                    <w:jc w:val="center"/>
                    <w:rPr>
                      <w:bCs/>
                      <w:szCs w:val="21"/>
                    </w:rPr>
                  </w:pPr>
                </w:p>
              </w:tc>
              <w:tc>
                <w:tcPr>
                  <w:tcW w:w="1134" w:type="dxa"/>
                  <w:vAlign w:val="center"/>
                </w:tcPr>
                <w:p>
                  <w:pPr>
                    <w:adjustRightInd w:val="0"/>
                    <w:snapToGrid w:val="0"/>
                    <w:jc w:val="center"/>
                    <w:rPr>
                      <w:bCs/>
                      <w:szCs w:val="21"/>
                    </w:rPr>
                  </w:pPr>
                  <w:r>
                    <w:rPr>
                      <w:rFonts w:hint="eastAsia"/>
                      <w:bCs/>
                      <w:szCs w:val="21"/>
                    </w:rPr>
                    <w:t>周家沟</w:t>
                  </w:r>
                </w:p>
              </w:tc>
              <w:tc>
                <w:tcPr>
                  <w:tcW w:w="631" w:type="dxa"/>
                  <w:vMerge w:val="continue"/>
                  <w:vAlign w:val="center"/>
                </w:tcPr>
                <w:p>
                  <w:pPr>
                    <w:pStyle w:val="19"/>
                    <w:adjustRightInd w:val="0"/>
                    <w:snapToGrid w:val="0"/>
                    <w:spacing w:line="240" w:lineRule="auto"/>
                    <w:ind w:firstLine="0" w:firstLineChars="0"/>
                    <w:jc w:val="center"/>
                    <w:rPr>
                      <w:rFonts w:ascii="Times New Roman"/>
                      <w:sz w:val="21"/>
                      <w:szCs w:val="21"/>
                    </w:rPr>
                  </w:pPr>
                </w:p>
              </w:tc>
              <w:tc>
                <w:tcPr>
                  <w:tcW w:w="991" w:type="dxa"/>
                  <w:vMerge w:val="continue"/>
                </w:tcPr>
                <w:p>
                  <w:pPr>
                    <w:pStyle w:val="19"/>
                    <w:adjustRightInd w:val="0"/>
                    <w:snapToGrid w:val="0"/>
                    <w:spacing w:line="240" w:lineRule="auto"/>
                    <w:ind w:firstLine="0" w:firstLineChars="0"/>
                    <w:jc w:val="center"/>
                    <w:rPr>
                      <w:rFonts w:ascii="Times New Roman"/>
                      <w:sz w:val="21"/>
                      <w:szCs w:val="21"/>
                    </w:rPr>
                  </w:pPr>
                </w:p>
              </w:tc>
              <w:tc>
                <w:tcPr>
                  <w:tcW w:w="991" w:type="dxa"/>
                  <w:vMerge w:val="continue"/>
                  <w:vAlign w:val="center"/>
                </w:tcPr>
                <w:p>
                  <w:pPr>
                    <w:pStyle w:val="19"/>
                    <w:adjustRightInd w:val="0"/>
                    <w:snapToGrid w:val="0"/>
                    <w:spacing w:line="240" w:lineRule="auto"/>
                    <w:ind w:firstLine="420"/>
                    <w:jc w:val="center"/>
                    <w:rPr>
                      <w:rFonts w:ascii="Times New Roman"/>
                      <w:sz w:val="21"/>
                      <w:szCs w:val="21"/>
                    </w:rPr>
                  </w:pPr>
                </w:p>
              </w:tc>
              <w:tc>
                <w:tcPr>
                  <w:tcW w:w="1570" w:type="dxa"/>
                  <w:vAlign w:val="center"/>
                </w:tcPr>
                <w:p>
                  <w:pPr>
                    <w:adjustRightInd w:val="0"/>
                    <w:snapToGrid w:val="0"/>
                    <w:jc w:val="center"/>
                    <w:rPr>
                      <w:szCs w:val="21"/>
                    </w:rPr>
                  </w:pPr>
                  <w:r>
                    <w:rPr>
                      <w:rFonts w:hint="eastAsia"/>
                      <w:szCs w:val="21"/>
                    </w:rPr>
                    <w:t>W</w:t>
                  </w:r>
                </w:p>
              </w:tc>
              <w:tc>
                <w:tcPr>
                  <w:tcW w:w="1775" w:type="dxa"/>
                  <w:vAlign w:val="center"/>
                </w:tcPr>
                <w:p>
                  <w:pPr>
                    <w:adjustRightInd w:val="0"/>
                    <w:snapToGrid w:val="0"/>
                    <w:jc w:val="center"/>
                    <w:rPr>
                      <w:szCs w:val="21"/>
                    </w:rPr>
                  </w:pPr>
                  <w:r>
                    <w:rPr>
                      <w:rFonts w:hint="eastAsia"/>
                      <w:szCs w:val="21"/>
                    </w:rPr>
                    <w:t>1</w:t>
                  </w:r>
                  <w:r>
                    <w:rPr>
                      <w:szCs w:val="21"/>
                    </w:rPr>
                    <w:t>7</w:t>
                  </w:r>
                  <w:r>
                    <w:rPr>
                      <w:rFonts w:hint="eastAsia"/>
                      <w:szCs w:val="21"/>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26" w:hRule="atLeast"/>
                <w:jc w:val="center"/>
              </w:trPr>
              <w:tc>
                <w:tcPr>
                  <w:tcW w:w="1194" w:type="dxa"/>
                  <w:vMerge w:val="continue"/>
                </w:tcPr>
                <w:p>
                  <w:pPr>
                    <w:adjustRightInd w:val="0"/>
                    <w:snapToGrid w:val="0"/>
                    <w:jc w:val="center"/>
                    <w:rPr>
                      <w:bCs/>
                      <w:szCs w:val="21"/>
                    </w:rPr>
                  </w:pPr>
                </w:p>
              </w:tc>
              <w:tc>
                <w:tcPr>
                  <w:tcW w:w="1134" w:type="dxa"/>
                  <w:vAlign w:val="center"/>
                </w:tcPr>
                <w:p>
                  <w:pPr>
                    <w:adjustRightInd w:val="0"/>
                    <w:snapToGrid w:val="0"/>
                    <w:jc w:val="center"/>
                    <w:rPr>
                      <w:bCs/>
                      <w:szCs w:val="21"/>
                    </w:rPr>
                  </w:pPr>
                  <w:r>
                    <w:rPr>
                      <w:rFonts w:hint="eastAsia"/>
                      <w:bCs/>
                      <w:szCs w:val="21"/>
                    </w:rPr>
                    <w:t>孔家院子</w:t>
                  </w:r>
                </w:p>
              </w:tc>
              <w:tc>
                <w:tcPr>
                  <w:tcW w:w="631" w:type="dxa"/>
                  <w:vMerge w:val="continue"/>
                  <w:vAlign w:val="center"/>
                </w:tcPr>
                <w:p>
                  <w:pPr>
                    <w:pStyle w:val="19"/>
                    <w:adjustRightInd w:val="0"/>
                    <w:snapToGrid w:val="0"/>
                    <w:spacing w:line="240" w:lineRule="auto"/>
                    <w:ind w:firstLine="0" w:firstLineChars="0"/>
                    <w:jc w:val="center"/>
                    <w:rPr>
                      <w:rFonts w:ascii="Times New Roman"/>
                      <w:sz w:val="21"/>
                      <w:szCs w:val="21"/>
                    </w:rPr>
                  </w:pPr>
                </w:p>
              </w:tc>
              <w:tc>
                <w:tcPr>
                  <w:tcW w:w="991" w:type="dxa"/>
                  <w:vMerge w:val="continue"/>
                </w:tcPr>
                <w:p>
                  <w:pPr>
                    <w:pStyle w:val="19"/>
                    <w:adjustRightInd w:val="0"/>
                    <w:snapToGrid w:val="0"/>
                    <w:spacing w:line="240" w:lineRule="auto"/>
                    <w:ind w:firstLine="0" w:firstLineChars="0"/>
                    <w:jc w:val="center"/>
                    <w:rPr>
                      <w:rFonts w:ascii="Times New Roman"/>
                      <w:sz w:val="21"/>
                      <w:szCs w:val="21"/>
                    </w:rPr>
                  </w:pPr>
                </w:p>
              </w:tc>
              <w:tc>
                <w:tcPr>
                  <w:tcW w:w="991" w:type="dxa"/>
                  <w:vMerge w:val="continue"/>
                  <w:vAlign w:val="center"/>
                </w:tcPr>
                <w:p>
                  <w:pPr>
                    <w:pStyle w:val="19"/>
                    <w:adjustRightInd w:val="0"/>
                    <w:snapToGrid w:val="0"/>
                    <w:spacing w:line="240" w:lineRule="auto"/>
                    <w:ind w:firstLine="420"/>
                    <w:jc w:val="center"/>
                    <w:rPr>
                      <w:rFonts w:ascii="Times New Roman"/>
                      <w:sz w:val="21"/>
                      <w:szCs w:val="21"/>
                    </w:rPr>
                  </w:pPr>
                </w:p>
              </w:tc>
              <w:tc>
                <w:tcPr>
                  <w:tcW w:w="1570" w:type="dxa"/>
                  <w:vAlign w:val="center"/>
                </w:tcPr>
                <w:p>
                  <w:pPr>
                    <w:adjustRightInd w:val="0"/>
                    <w:snapToGrid w:val="0"/>
                    <w:jc w:val="center"/>
                    <w:rPr>
                      <w:szCs w:val="21"/>
                    </w:rPr>
                  </w:pPr>
                  <w:r>
                    <w:rPr>
                      <w:rFonts w:hint="eastAsia"/>
                      <w:szCs w:val="21"/>
                    </w:rPr>
                    <w:t>S</w:t>
                  </w:r>
                  <w:r>
                    <w:rPr>
                      <w:szCs w:val="21"/>
                    </w:rPr>
                    <w:t>W</w:t>
                  </w:r>
                </w:p>
              </w:tc>
              <w:tc>
                <w:tcPr>
                  <w:tcW w:w="1775" w:type="dxa"/>
                  <w:vAlign w:val="center"/>
                </w:tcPr>
                <w:p>
                  <w:pPr>
                    <w:adjustRightInd w:val="0"/>
                    <w:snapToGrid w:val="0"/>
                    <w:jc w:val="center"/>
                    <w:rPr>
                      <w:szCs w:val="21"/>
                    </w:rPr>
                  </w:pPr>
                  <w:r>
                    <w:rPr>
                      <w:rFonts w:hint="eastAsia"/>
                      <w:szCs w:val="21"/>
                    </w:rPr>
                    <w:t>9</w:t>
                  </w:r>
                  <w:r>
                    <w:rPr>
                      <w:szCs w:val="21"/>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26" w:hRule="atLeast"/>
                <w:jc w:val="center"/>
              </w:trPr>
              <w:tc>
                <w:tcPr>
                  <w:tcW w:w="1194" w:type="dxa"/>
                  <w:vMerge w:val="continue"/>
                </w:tcPr>
                <w:p>
                  <w:pPr>
                    <w:adjustRightInd w:val="0"/>
                    <w:snapToGrid w:val="0"/>
                    <w:jc w:val="center"/>
                    <w:rPr>
                      <w:bCs/>
                      <w:szCs w:val="21"/>
                    </w:rPr>
                  </w:pPr>
                </w:p>
              </w:tc>
              <w:tc>
                <w:tcPr>
                  <w:tcW w:w="1134" w:type="dxa"/>
                  <w:vAlign w:val="center"/>
                </w:tcPr>
                <w:p>
                  <w:pPr>
                    <w:adjustRightInd w:val="0"/>
                    <w:snapToGrid w:val="0"/>
                    <w:jc w:val="center"/>
                    <w:rPr>
                      <w:bCs/>
                      <w:szCs w:val="21"/>
                    </w:rPr>
                  </w:pPr>
                  <w:r>
                    <w:rPr>
                      <w:rFonts w:hint="eastAsia"/>
                      <w:bCs/>
                      <w:szCs w:val="21"/>
                    </w:rPr>
                    <w:t>下梁镇</w:t>
                  </w:r>
                </w:p>
              </w:tc>
              <w:tc>
                <w:tcPr>
                  <w:tcW w:w="631" w:type="dxa"/>
                  <w:vMerge w:val="continue"/>
                  <w:vAlign w:val="center"/>
                </w:tcPr>
                <w:p>
                  <w:pPr>
                    <w:pStyle w:val="19"/>
                    <w:adjustRightInd w:val="0"/>
                    <w:snapToGrid w:val="0"/>
                    <w:spacing w:line="240" w:lineRule="auto"/>
                    <w:ind w:firstLine="0" w:firstLineChars="0"/>
                    <w:jc w:val="center"/>
                    <w:rPr>
                      <w:rFonts w:ascii="Times New Roman"/>
                      <w:sz w:val="21"/>
                      <w:szCs w:val="21"/>
                    </w:rPr>
                  </w:pPr>
                </w:p>
              </w:tc>
              <w:tc>
                <w:tcPr>
                  <w:tcW w:w="991" w:type="dxa"/>
                  <w:vMerge w:val="continue"/>
                </w:tcPr>
                <w:p>
                  <w:pPr>
                    <w:pStyle w:val="19"/>
                    <w:adjustRightInd w:val="0"/>
                    <w:snapToGrid w:val="0"/>
                    <w:spacing w:line="240" w:lineRule="auto"/>
                    <w:ind w:firstLine="0" w:firstLineChars="0"/>
                    <w:jc w:val="center"/>
                    <w:rPr>
                      <w:rFonts w:ascii="Times New Roman"/>
                      <w:sz w:val="21"/>
                      <w:szCs w:val="21"/>
                    </w:rPr>
                  </w:pPr>
                </w:p>
              </w:tc>
              <w:tc>
                <w:tcPr>
                  <w:tcW w:w="991" w:type="dxa"/>
                  <w:vMerge w:val="continue"/>
                  <w:vAlign w:val="center"/>
                </w:tcPr>
                <w:p>
                  <w:pPr>
                    <w:pStyle w:val="19"/>
                    <w:adjustRightInd w:val="0"/>
                    <w:snapToGrid w:val="0"/>
                    <w:spacing w:line="240" w:lineRule="auto"/>
                    <w:ind w:firstLine="0" w:firstLineChars="0"/>
                    <w:jc w:val="center"/>
                    <w:rPr>
                      <w:rFonts w:ascii="Times New Roman"/>
                      <w:sz w:val="21"/>
                      <w:szCs w:val="21"/>
                    </w:rPr>
                  </w:pPr>
                </w:p>
              </w:tc>
              <w:tc>
                <w:tcPr>
                  <w:tcW w:w="1570" w:type="dxa"/>
                  <w:vAlign w:val="center"/>
                </w:tcPr>
                <w:p>
                  <w:pPr>
                    <w:adjustRightInd w:val="0"/>
                    <w:snapToGrid w:val="0"/>
                    <w:jc w:val="center"/>
                    <w:rPr>
                      <w:szCs w:val="21"/>
                    </w:rPr>
                  </w:pPr>
                  <w:r>
                    <w:rPr>
                      <w:szCs w:val="21"/>
                    </w:rPr>
                    <w:t>SE</w:t>
                  </w:r>
                </w:p>
              </w:tc>
              <w:tc>
                <w:tcPr>
                  <w:tcW w:w="1775" w:type="dxa"/>
                  <w:vAlign w:val="center"/>
                </w:tcPr>
                <w:p>
                  <w:pPr>
                    <w:adjustRightInd w:val="0"/>
                    <w:snapToGrid w:val="0"/>
                    <w:jc w:val="center"/>
                    <w:rPr>
                      <w:szCs w:val="21"/>
                    </w:rPr>
                  </w:pPr>
                  <w:r>
                    <w:rPr>
                      <w:rFonts w:hint="eastAsia"/>
                      <w:szCs w:val="21"/>
                    </w:rPr>
                    <w:t>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26" w:hRule="atLeast"/>
                <w:jc w:val="center"/>
              </w:trPr>
              <w:tc>
                <w:tcPr>
                  <w:tcW w:w="1194" w:type="dxa"/>
                  <w:vMerge w:val="restart"/>
                  <w:vAlign w:val="center"/>
                </w:tcPr>
                <w:p>
                  <w:pPr>
                    <w:adjustRightInd w:val="0"/>
                    <w:snapToGrid w:val="0"/>
                    <w:jc w:val="center"/>
                    <w:rPr>
                      <w:bCs/>
                      <w:szCs w:val="21"/>
                    </w:rPr>
                  </w:pPr>
                  <w:r>
                    <w:rPr>
                      <w:rFonts w:hint="eastAsia"/>
                      <w:bCs/>
                      <w:szCs w:val="21"/>
                    </w:rPr>
                    <w:t>环境噪声</w:t>
                  </w:r>
                </w:p>
              </w:tc>
              <w:tc>
                <w:tcPr>
                  <w:tcW w:w="1134" w:type="dxa"/>
                  <w:vAlign w:val="center"/>
                </w:tcPr>
                <w:p>
                  <w:pPr>
                    <w:adjustRightInd w:val="0"/>
                    <w:snapToGrid w:val="0"/>
                    <w:jc w:val="center"/>
                    <w:rPr>
                      <w:bCs/>
                      <w:szCs w:val="21"/>
                    </w:rPr>
                  </w:pPr>
                  <w:r>
                    <w:rPr>
                      <w:rFonts w:hint="eastAsia"/>
                      <w:bCs/>
                      <w:szCs w:val="21"/>
                    </w:rPr>
                    <w:t>马房子村</w:t>
                  </w:r>
                </w:p>
              </w:tc>
              <w:tc>
                <w:tcPr>
                  <w:tcW w:w="631" w:type="dxa"/>
                  <w:vMerge w:val="restart"/>
                  <w:vAlign w:val="center"/>
                </w:tcPr>
                <w:p>
                  <w:pPr>
                    <w:pStyle w:val="19"/>
                    <w:adjustRightInd w:val="0"/>
                    <w:snapToGrid w:val="0"/>
                    <w:spacing w:line="240" w:lineRule="auto"/>
                    <w:ind w:firstLine="0" w:firstLineChars="0"/>
                    <w:jc w:val="center"/>
                    <w:rPr>
                      <w:rFonts w:ascii="Times New Roman"/>
                      <w:sz w:val="21"/>
                      <w:szCs w:val="21"/>
                    </w:rPr>
                  </w:pPr>
                  <w:r>
                    <w:rPr>
                      <w:rFonts w:hint="eastAsia" w:ascii="Times New Roman"/>
                      <w:sz w:val="21"/>
                      <w:szCs w:val="21"/>
                    </w:rPr>
                    <w:t>人群</w:t>
                  </w:r>
                </w:p>
              </w:tc>
              <w:tc>
                <w:tcPr>
                  <w:tcW w:w="991" w:type="dxa"/>
                  <w:vMerge w:val="restart"/>
                  <w:vAlign w:val="center"/>
                </w:tcPr>
                <w:p>
                  <w:pPr>
                    <w:pStyle w:val="19"/>
                    <w:adjustRightInd w:val="0"/>
                    <w:snapToGrid w:val="0"/>
                    <w:spacing w:line="240" w:lineRule="auto"/>
                    <w:ind w:firstLine="0" w:firstLineChars="0"/>
                    <w:jc w:val="center"/>
                    <w:rPr>
                      <w:rFonts w:ascii="Times New Roman"/>
                      <w:sz w:val="21"/>
                      <w:szCs w:val="21"/>
                    </w:rPr>
                  </w:pPr>
                  <w:r>
                    <w:rPr>
                      <w:rFonts w:hint="eastAsia" w:ascii="Times New Roman"/>
                      <w:sz w:val="21"/>
                      <w:szCs w:val="21"/>
                    </w:rPr>
                    <w:t>环境噪声</w:t>
                  </w:r>
                </w:p>
              </w:tc>
              <w:tc>
                <w:tcPr>
                  <w:tcW w:w="991" w:type="dxa"/>
                  <w:vMerge w:val="restart"/>
                  <w:vAlign w:val="center"/>
                </w:tcPr>
                <w:p>
                  <w:pPr>
                    <w:pStyle w:val="19"/>
                    <w:adjustRightInd w:val="0"/>
                    <w:snapToGrid w:val="0"/>
                    <w:spacing w:line="240" w:lineRule="auto"/>
                    <w:ind w:firstLine="0" w:firstLineChars="0"/>
                    <w:jc w:val="center"/>
                    <w:rPr>
                      <w:rFonts w:ascii="Times New Roman"/>
                      <w:sz w:val="21"/>
                      <w:szCs w:val="21"/>
                    </w:rPr>
                  </w:pPr>
                  <w:r>
                    <w:rPr>
                      <w:rFonts w:hint="eastAsia" w:ascii="Times New Roman"/>
                      <w:sz w:val="21"/>
                      <w:szCs w:val="21"/>
                    </w:rPr>
                    <w:t>2类</w:t>
                  </w:r>
                </w:p>
              </w:tc>
              <w:tc>
                <w:tcPr>
                  <w:tcW w:w="1570" w:type="dxa"/>
                  <w:vAlign w:val="center"/>
                </w:tcPr>
                <w:p>
                  <w:pPr>
                    <w:adjustRightInd w:val="0"/>
                    <w:snapToGrid w:val="0"/>
                    <w:jc w:val="center"/>
                    <w:rPr>
                      <w:szCs w:val="21"/>
                    </w:rPr>
                  </w:pPr>
                  <w:r>
                    <w:rPr>
                      <w:rFonts w:hint="eastAsia"/>
                      <w:szCs w:val="21"/>
                    </w:rPr>
                    <w:t>N</w:t>
                  </w:r>
                </w:p>
              </w:tc>
              <w:tc>
                <w:tcPr>
                  <w:tcW w:w="1775" w:type="dxa"/>
                  <w:vAlign w:val="center"/>
                </w:tcPr>
                <w:p>
                  <w:pPr>
                    <w:adjustRightInd w:val="0"/>
                    <w:snapToGrid w:val="0"/>
                    <w:jc w:val="center"/>
                    <w:rPr>
                      <w:szCs w:val="21"/>
                    </w:rPr>
                  </w:pPr>
                  <w:r>
                    <w:rPr>
                      <w:rFonts w:hint="eastAsia"/>
                      <w:szCs w:val="21"/>
                    </w:rPr>
                    <w:t>2</w:t>
                  </w: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26" w:hRule="atLeast"/>
                <w:jc w:val="center"/>
              </w:trPr>
              <w:tc>
                <w:tcPr>
                  <w:tcW w:w="1194" w:type="dxa"/>
                  <w:vMerge w:val="continue"/>
                </w:tcPr>
                <w:p>
                  <w:pPr>
                    <w:adjustRightInd w:val="0"/>
                    <w:snapToGrid w:val="0"/>
                    <w:jc w:val="center"/>
                    <w:rPr>
                      <w:bCs/>
                      <w:szCs w:val="21"/>
                    </w:rPr>
                  </w:pPr>
                </w:p>
              </w:tc>
              <w:tc>
                <w:tcPr>
                  <w:tcW w:w="1134" w:type="dxa"/>
                  <w:vAlign w:val="center"/>
                </w:tcPr>
                <w:p>
                  <w:pPr>
                    <w:adjustRightInd w:val="0"/>
                    <w:snapToGrid w:val="0"/>
                    <w:jc w:val="center"/>
                    <w:rPr>
                      <w:bCs/>
                      <w:szCs w:val="21"/>
                    </w:rPr>
                  </w:pPr>
                  <w:r>
                    <w:rPr>
                      <w:rFonts w:hint="eastAsia"/>
                      <w:bCs/>
                      <w:szCs w:val="21"/>
                    </w:rPr>
                    <w:t>石镇村</w:t>
                  </w:r>
                </w:p>
              </w:tc>
              <w:tc>
                <w:tcPr>
                  <w:tcW w:w="631" w:type="dxa"/>
                  <w:vMerge w:val="continue"/>
                  <w:vAlign w:val="center"/>
                </w:tcPr>
                <w:p>
                  <w:pPr>
                    <w:pStyle w:val="19"/>
                    <w:adjustRightInd w:val="0"/>
                    <w:snapToGrid w:val="0"/>
                    <w:spacing w:line="240" w:lineRule="auto"/>
                    <w:ind w:firstLine="0" w:firstLineChars="0"/>
                    <w:jc w:val="center"/>
                    <w:rPr>
                      <w:rFonts w:ascii="Times New Roman"/>
                      <w:sz w:val="21"/>
                      <w:szCs w:val="21"/>
                    </w:rPr>
                  </w:pPr>
                </w:p>
              </w:tc>
              <w:tc>
                <w:tcPr>
                  <w:tcW w:w="991" w:type="dxa"/>
                  <w:vMerge w:val="continue"/>
                </w:tcPr>
                <w:p>
                  <w:pPr>
                    <w:pStyle w:val="19"/>
                    <w:adjustRightInd w:val="0"/>
                    <w:snapToGrid w:val="0"/>
                    <w:spacing w:line="240" w:lineRule="auto"/>
                    <w:ind w:firstLine="0" w:firstLineChars="0"/>
                    <w:jc w:val="center"/>
                    <w:rPr>
                      <w:rFonts w:ascii="Times New Roman"/>
                      <w:sz w:val="21"/>
                      <w:szCs w:val="21"/>
                    </w:rPr>
                  </w:pPr>
                </w:p>
              </w:tc>
              <w:tc>
                <w:tcPr>
                  <w:tcW w:w="991" w:type="dxa"/>
                  <w:vMerge w:val="continue"/>
                  <w:vAlign w:val="center"/>
                </w:tcPr>
                <w:p>
                  <w:pPr>
                    <w:pStyle w:val="19"/>
                    <w:adjustRightInd w:val="0"/>
                    <w:snapToGrid w:val="0"/>
                    <w:spacing w:line="240" w:lineRule="auto"/>
                    <w:ind w:firstLine="0" w:firstLineChars="0"/>
                    <w:jc w:val="center"/>
                    <w:rPr>
                      <w:rFonts w:ascii="Times New Roman"/>
                      <w:sz w:val="21"/>
                      <w:szCs w:val="21"/>
                    </w:rPr>
                  </w:pPr>
                </w:p>
              </w:tc>
              <w:tc>
                <w:tcPr>
                  <w:tcW w:w="1570" w:type="dxa"/>
                  <w:vAlign w:val="center"/>
                </w:tcPr>
                <w:p>
                  <w:pPr>
                    <w:adjustRightInd w:val="0"/>
                    <w:snapToGrid w:val="0"/>
                    <w:jc w:val="center"/>
                    <w:rPr>
                      <w:szCs w:val="21"/>
                    </w:rPr>
                  </w:pPr>
                  <w:r>
                    <w:rPr>
                      <w:rFonts w:hint="eastAsia"/>
                      <w:szCs w:val="21"/>
                    </w:rPr>
                    <w:t>S</w:t>
                  </w:r>
                  <w:r>
                    <w:rPr>
                      <w:szCs w:val="21"/>
                    </w:rPr>
                    <w:t>E</w:t>
                  </w:r>
                </w:p>
              </w:tc>
              <w:tc>
                <w:tcPr>
                  <w:tcW w:w="1775" w:type="dxa"/>
                  <w:vAlign w:val="center"/>
                </w:tcPr>
                <w:p>
                  <w:pPr>
                    <w:adjustRightInd w:val="0"/>
                    <w:snapToGrid w:val="0"/>
                    <w:jc w:val="center"/>
                    <w:rPr>
                      <w:szCs w:val="21"/>
                    </w:rPr>
                  </w:pPr>
                  <w:r>
                    <w:rPr>
                      <w:rFonts w:hint="eastAsia"/>
                      <w:szCs w:val="21"/>
                    </w:rPr>
                    <w:t>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63" w:hRule="atLeast"/>
                <w:jc w:val="center"/>
              </w:trPr>
              <w:tc>
                <w:tcPr>
                  <w:tcW w:w="1194" w:type="dxa"/>
                  <w:vAlign w:val="center"/>
                </w:tcPr>
                <w:p>
                  <w:pPr>
                    <w:adjustRightInd w:val="0"/>
                    <w:snapToGrid w:val="0"/>
                    <w:jc w:val="center"/>
                    <w:rPr>
                      <w:bCs/>
                      <w:szCs w:val="21"/>
                    </w:rPr>
                  </w:pPr>
                  <w:r>
                    <w:rPr>
                      <w:rFonts w:hint="eastAsia"/>
                      <w:bCs/>
                      <w:szCs w:val="21"/>
                    </w:rPr>
                    <w:t>地表水</w:t>
                  </w:r>
                </w:p>
              </w:tc>
              <w:tc>
                <w:tcPr>
                  <w:tcW w:w="1765" w:type="dxa"/>
                  <w:gridSpan w:val="2"/>
                  <w:vAlign w:val="center"/>
                </w:tcPr>
                <w:p>
                  <w:pPr>
                    <w:adjustRightInd w:val="0"/>
                    <w:snapToGrid w:val="0"/>
                    <w:jc w:val="center"/>
                    <w:rPr>
                      <w:szCs w:val="21"/>
                    </w:rPr>
                  </w:pPr>
                  <w:r>
                    <w:rPr>
                      <w:rFonts w:hint="eastAsia"/>
                      <w:bCs/>
                      <w:szCs w:val="21"/>
                    </w:rPr>
                    <w:t>七坪河</w:t>
                  </w:r>
                </w:p>
              </w:tc>
              <w:tc>
                <w:tcPr>
                  <w:tcW w:w="991" w:type="dxa"/>
                  <w:vAlign w:val="center"/>
                </w:tcPr>
                <w:p>
                  <w:pPr>
                    <w:adjustRightInd w:val="0"/>
                    <w:snapToGrid w:val="0"/>
                    <w:jc w:val="center"/>
                    <w:rPr>
                      <w:szCs w:val="21"/>
                    </w:rPr>
                  </w:pPr>
                  <w:r>
                    <w:rPr>
                      <w:rFonts w:hint="eastAsia"/>
                      <w:szCs w:val="21"/>
                    </w:rPr>
                    <w:t>地表水</w:t>
                  </w:r>
                </w:p>
              </w:tc>
              <w:tc>
                <w:tcPr>
                  <w:tcW w:w="991" w:type="dxa"/>
                  <w:vAlign w:val="center"/>
                </w:tcPr>
                <w:p>
                  <w:pPr>
                    <w:adjustRightInd w:val="0"/>
                    <w:snapToGrid w:val="0"/>
                    <w:jc w:val="center"/>
                    <w:rPr>
                      <w:szCs w:val="21"/>
                    </w:rPr>
                  </w:pPr>
                  <w:r>
                    <w:rPr>
                      <w:rFonts w:hint="eastAsia"/>
                      <w:szCs w:val="21"/>
                    </w:rPr>
                    <w:t>Ⅱ类</w:t>
                  </w:r>
                </w:p>
              </w:tc>
              <w:tc>
                <w:tcPr>
                  <w:tcW w:w="1570" w:type="dxa"/>
                  <w:vAlign w:val="center"/>
                </w:tcPr>
                <w:p>
                  <w:pPr>
                    <w:adjustRightInd w:val="0"/>
                    <w:snapToGrid w:val="0"/>
                    <w:jc w:val="center"/>
                    <w:rPr>
                      <w:szCs w:val="21"/>
                    </w:rPr>
                  </w:pPr>
                  <w:r>
                    <w:rPr>
                      <w:szCs w:val="21"/>
                    </w:rPr>
                    <w:t>S</w:t>
                  </w:r>
                </w:p>
              </w:tc>
              <w:tc>
                <w:tcPr>
                  <w:tcW w:w="1775" w:type="dxa"/>
                  <w:vAlign w:val="center"/>
                </w:tcPr>
                <w:p>
                  <w:pPr>
                    <w:adjustRightInd w:val="0"/>
                    <w:snapToGrid w:val="0"/>
                    <w:jc w:val="center"/>
                    <w:rPr>
                      <w:szCs w:val="21"/>
                    </w:rPr>
                  </w:pPr>
                  <w:r>
                    <w:rPr>
                      <w:rFonts w:hint="eastAsia"/>
                      <w:szCs w:val="21"/>
                    </w:rPr>
                    <w:t>10</w:t>
                  </w:r>
                </w:p>
              </w:tc>
            </w:tr>
          </w:tbl>
          <w:p>
            <w:pPr>
              <w:rPr>
                <w:b/>
                <w:sz w:val="10"/>
                <w:szCs w:val="10"/>
              </w:rPr>
            </w:pPr>
          </w:p>
          <w:p>
            <w:pPr>
              <w:pStyle w:val="2"/>
            </w:pPr>
          </w:p>
          <w:bookmarkEnd w:id="21"/>
          <w:p>
            <w:pPr>
              <w:pStyle w:val="2"/>
            </w:pPr>
          </w:p>
          <w:p>
            <w:pPr>
              <w:pStyle w:val="2"/>
            </w:pPr>
          </w:p>
          <w:p>
            <w:pPr>
              <w:pStyle w:val="2"/>
            </w:pPr>
          </w:p>
          <w:p>
            <w:pPr>
              <w:pStyle w:val="2"/>
            </w:pPr>
          </w:p>
          <w:p>
            <w:pPr>
              <w:pStyle w:val="2"/>
            </w:pPr>
          </w:p>
          <w:p>
            <w:pPr>
              <w:pStyle w:val="2"/>
            </w:pPr>
          </w:p>
          <w:p>
            <w:pPr>
              <w:pStyle w:val="2"/>
              <w:ind w:left="0" w:leftChars="0" w:firstLine="0" w:firstLineChars="0"/>
            </w:pPr>
          </w:p>
          <w:p>
            <w:pPr>
              <w:pStyle w:val="2"/>
            </w:pPr>
          </w:p>
          <w:p>
            <w:pPr>
              <w:pStyle w:val="2"/>
            </w:pPr>
          </w:p>
          <w:p>
            <w:pPr>
              <w:pStyle w:val="2"/>
            </w:pPr>
          </w:p>
          <w:p>
            <w:pPr>
              <w:pStyle w:val="2"/>
            </w:pPr>
          </w:p>
          <w:p>
            <w:pPr>
              <w:pStyle w:val="2"/>
            </w:pPr>
          </w:p>
          <w:p>
            <w:pPr>
              <w:pStyle w:val="2"/>
            </w:pPr>
          </w:p>
        </w:tc>
      </w:tr>
    </w:tbl>
    <w:p>
      <w:pPr>
        <w:pStyle w:val="3"/>
        <w:spacing w:before="0" w:after="0" w:line="240" w:lineRule="auto"/>
        <w:ind w:firstLine="420"/>
        <w:rPr>
          <w:rFonts w:ascii="Times New Roman"/>
          <w:sz w:val="28"/>
          <w:szCs w:val="28"/>
        </w:rPr>
      </w:pPr>
      <w:bookmarkStart w:id="22" w:name="_Toc14900"/>
      <w:bookmarkStart w:id="23" w:name="_Toc5113210"/>
      <w:r>
        <w:rPr>
          <w:rFonts w:ascii="Times New Roman"/>
          <w:sz w:val="28"/>
          <w:szCs w:val="28"/>
        </w:rPr>
        <w:t>评价适用标准</w:t>
      </w:r>
      <w:bookmarkEnd w:id="22"/>
      <w:bookmarkEnd w:id="23"/>
    </w:p>
    <w:tbl>
      <w:tblPr>
        <w:tblStyle w:val="2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7" w:hRule="atLeast"/>
        </w:trPr>
        <w:tc>
          <w:tcPr>
            <w:tcW w:w="817" w:type="dxa"/>
            <w:vAlign w:val="center"/>
          </w:tcPr>
          <w:p>
            <w:pPr>
              <w:spacing w:line="360" w:lineRule="auto"/>
              <w:jc w:val="center"/>
              <w:rPr>
                <w:sz w:val="24"/>
              </w:rPr>
            </w:pPr>
            <w:r>
              <w:rPr>
                <w:sz w:val="24"/>
              </w:rPr>
              <w:t>环</w:t>
            </w:r>
          </w:p>
          <w:p>
            <w:pPr>
              <w:spacing w:line="360" w:lineRule="auto"/>
              <w:jc w:val="center"/>
              <w:rPr>
                <w:sz w:val="24"/>
              </w:rPr>
            </w:pPr>
            <w:r>
              <w:rPr>
                <w:sz w:val="24"/>
              </w:rPr>
              <w:t>境</w:t>
            </w:r>
          </w:p>
          <w:p>
            <w:pPr>
              <w:spacing w:line="360" w:lineRule="auto"/>
              <w:jc w:val="center"/>
              <w:rPr>
                <w:sz w:val="24"/>
              </w:rPr>
            </w:pPr>
            <w:r>
              <w:rPr>
                <w:sz w:val="24"/>
              </w:rPr>
              <w:t>质</w:t>
            </w:r>
          </w:p>
          <w:p>
            <w:pPr>
              <w:spacing w:line="360" w:lineRule="auto"/>
              <w:jc w:val="center"/>
              <w:rPr>
                <w:sz w:val="24"/>
              </w:rPr>
            </w:pPr>
            <w:r>
              <w:rPr>
                <w:sz w:val="24"/>
              </w:rPr>
              <w:t>量</w:t>
            </w:r>
          </w:p>
          <w:p>
            <w:pPr>
              <w:spacing w:line="360" w:lineRule="auto"/>
              <w:jc w:val="center"/>
              <w:rPr>
                <w:sz w:val="24"/>
              </w:rPr>
            </w:pPr>
            <w:r>
              <w:rPr>
                <w:sz w:val="24"/>
              </w:rPr>
              <w:t>标</w:t>
            </w:r>
          </w:p>
          <w:p>
            <w:pPr>
              <w:spacing w:line="360" w:lineRule="auto"/>
              <w:jc w:val="center"/>
              <w:rPr>
                <w:sz w:val="24"/>
              </w:rPr>
            </w:pPr>
            <w:r>
              <w:rPr>
                <w:sz w:val="24"/>
              </w:rPr>
              <w:t>准</w:t>
            </w:r>
          </w:p>
        </w:tc>
        <w:tc>
          <w:tcPr>
            <w:tcW w:w="8469" w:type="dxa"/>
            <w:vAlign w:val="center"/>
          </w:tcPr>
          <w:p>
            <w:pPr>
              <w:adjustRightInd w:val="0"/>
              <w:snapToGrid w:val="0"/>
              <w:spacing w:line="360" w:lineRule="auto"/>
              <w:ind w:firstLine="480" w:firstLineChars="200"/>
              <w:rPr>
                <w:sz w:val="24"/>
              </w:rPr>
            </w:pPr>
            <w:r>
              <w:rPr>
                <w:rFonts w:hint="eastAsia"/>
                <w:sz w:val="24"/>
              </w:rPr>
              <w:t>依据商洛市生态环境局柞水分局关于陕西麓苑实业有限公司煤改气项目环境影响评价应执行环境标准的函，本次评价执行以下标准。</w:t>
            </w:r>
          </w:p>
          <w:p>
            <w:pPr>
              <w:numPr>
                <w:ilvl w:val="0"/>
                <w:numId w:val="1"/>
              </w:numPr>
              <w:adjustRightInd w:val="0"/>
              <w:snapToGrid w:val="0"/>
              <w:spacing w:line="360" w:lineRule="auto"/>
              <w:rPr>
                <w:sz w:val="24"/>
              </w:rPr>
            </w:pPr>
            <w:r>
              <w:rPr>
                <w:rFonts w:hint="eastAsia"/>
                <w:sz w:val="24"/>
              </w:rPr>
              <w:t>环境空气质量</w:t>
            </w:r>
          </w:p>
          <w:p>
            <w:pPr>
              <w:adjustRightInd w:val="0"/>
              <w:snapToGrid w:val="0"/>
              <w:spacing w:line="360" w:lineRule="auto"/>
              <w:ind w:left="360"/>
              <w:rPr>
                <w:sz w:val="24"/>
              </w:rPr>
            </w:pPr>
            <w:r>
              <w:rPr>
                <w:rFonts w:hint="eastAsia"/>
                <w:sz w:val="24"/>
              </w:rPr>
              <w:t>执行《环境空气质量标准》（GB3095-2012）及修改单中的二级标准，标准值摘录于表8。</w:t>
            </w:r>
          </w:p>
          <w:p>
            <w:pPr>
              <w:adjustRightInd w:val="0"/>
              <w:snapToGrid w:val="0"/>
              <w:spacing w:line="360" w:lineRule="auto"/>
              <w:jc w:val="center"/>
              <w:outlineLvl w:val="4"/>
              <w:rPr>
                <w:rFonts w:eastAsia="黑体"/>
                <w:sz w:val="24"/>
                <w:szCs w:val="21"/>
              </w:rPr>
            </w:pPr>
            <w:r>
              <w:rPr>
                <w:rFonts w:hint="eastAsia" w:eastAsia="黑体"/>
                <w:sz w:val="24"/>
                <w:szCs w:val="21"/>
              </w:rPr>
              <w:t>表8</w:t>
            </w:r>
            <w:r>
              <w:rPr>
                <w:rFonts w:eastAsia="黑体"/>
                <w:sz w:val="24"/>
                <w:szCs w:val="21"/>
              </w:rPr>
              <w:t xml:space="preserve"> </w:t>
            </w:r>
            <w:r>
              <w:rPr>
                <w:rFonts w:hint="eastAsia" w:eastAsia="黑体"/>
                <w:sz w:val="24"/>
                <w:szCs w:val="21"/>
              </w:rPr>
              <w:t>环境空气质量标准</w:t>
            </w:r>
          </w:p>
          <w:tbl>
            <w:tblPr>
              <w:tblStyle w:val="25"/>
              <w:tblW w:w="822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1066"/>
              <w:gridCol w:w="1197"/>
              <w:gridCol w:w="1862"/>
              <w:gridCol w:w="801"/>
              <w:gridCol w:w="9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363" w:type="dxa"/>
                  <w:vMerge w:val="restart"/>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标准名称及级</w:t>
                  </w:r>
                  <w:r>
                    <w:rPr>
                      <w:kern w:val="0"/>
                      <w:szCs w:val="22"/>
                    </w:rPr>
                    <w:t>(</w:t>
                  </w:r>
                  <w:r>
                    <w:rPr>
                      <w:rFonts w:hint="eastAsia"/>
                      <w:kern w:val="0"/>
                      <w:szCs w:val="22"/>
                    </w:rPr>
                    <w:t>类</w:t>
                  </w:r>
                  <w:r>
                    <w:rPr>
                      <w:kern w:val="0"/>
                      <w:szCs w:val="22"/>
                    </w:rPr>
                    <w:t>)</w:t>
                  </w:r>
                  <w:r>
                    <w:rPr>
                      <w:rFonts w:hint="eastAsia"/>
                      <w:kern w:val="0"/>
                      <w:szCs w:val="22"/>
                    </w:rPr>
                    <w:t>别</w:t>
                  </w:r>
                </w:p>
              </w:tc>
              <w:tc>
                <w:tcPr>
                  <w:tcW w:w="1066" w:type="dxa"/>
                  <w:vMerge w:val="restart"/>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执行标准</w:t>
                  </w:r>
                </w:p>
              </w:tc>
              <w:tc>
                <w:tcPr>
                  <w:tcW w:w="1197" w:type="dxa"/>
                  <w:vMerge w:val="restart"/>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污染物名称</w:t>
                  </w:r>
                </w:p>
              </w:tc>
              <w:tc>
                <w:tcPr>
                  <w:tcW w:w="3597" w:type="dxa"/>
                  <w:gridSpan w:val="3"/>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Merge w:val="continue"/>
                  <w:vAlign w:val="center"/>
                </w:tcPr>
                <w:p>
                  <w:pPr>
                    <w:widowControl/>
                    <w:adjustRightInd w:val="0"/>
                    <w:snapToGrid w:val="0"/>
                    <w:jc w:val="center"/>
                    <w:rPr>
                      <w:kern w:val="0"/>
                      <w:szCs w:val="22"/>
                    </w:rPr>
                  </w:pP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类别</w:t>
                  </w:r>
                </w:p>
              </w:tc>
              <w:tc>
                <w:tcPr>
                  <w:tcW w:w="801"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单位</w:t>
                  </w: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restart"/>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《环境空气质量标准》（GB3095—2012）及修改单</w:t>
                  </w:r>
                </w:p>
              </w:tc>
              <w:tc>
                <w:tcPr>
                  <w:tcW w:w="1066" w:type="dxa"/>
                  <w:vMerge w:val="restart"/>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二级</w:t>
                  </w:r>
                </w:p>
              </w:tc>
              <w:tc>
                <w:tcPr>
                  <w:tcW w:w="1197" w:type="dxa"/>
                  <w:vMerge w:val="restart"/>
                  <w:tcMar>
                    <w:top w:w="0" w:type="dxa"/>
                    <w:left w:w="28" w:type="dxa"/>
                    <w:bottom w:w="0" w:type="dxa"/>
                    <w:right w:w="28" w:type="dxa"/>
                  </w:tcMar>
                  <w:vAlign w:val="center"/>
                </w:tcPr>
                <w:p>
                  <w:pPr>
                    <w:widowControl/>
                    <w:adjustRightInd w:val="0"/>
                    <w:snapToGrid w:val="0"/>
                    <w:jc w:val="center"/>
                    <w:rPr>
                      <w:kern w:val="0"/>
                      <w:szCs w:val="22"/>
                    </w:rPr>
                  </w:pPr>
                  <w:r>
                    <w:rPr>
                      <w:kern w:val="0"/>
                      <w:szCs w:val="22"/>
                    </w:rPr>
                    <w:t>PM</w:t>
                  </w:r>
                  <w:r>
                    <w:rPr>
                      <w:kern w:val="0"/>
                      <w:szCs w:val="22"/>
                      <w:vertAlign w:val="subscript"/>
                    </w:rPr>
                    <w:t>10</w:t>
                  </w: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年平均</w:t>
                  </w:r>
                </w:p>
              </w:tc>
              <w:tc>
                <w:tcPr>
                  <w:tcW w:w="801" w:type="dxa"/>
                  <w:vMerge w:val="restart"/>
                  <w:tcMar>
                    <w:top w:w="0" w:type="dxa"/>
                    <w:left w:w="28" w:type="dxa"/>
                    <w:bottom w:w="0" w:type="dxa"/>
                    <w:right w:w="28" w:type="dxa"/>
                  </w:tcMar>
                  <w:vAlign w:val="center"/>
                </w:tcPr>
                <w:p>
                  <w:pPr>
                    <w:widowControl/>
                    <w:adjustRightInd w:val="0"/>
                    <w:snapToGrid w:val="0"/>
                    <w:jc w:val="center"/>
                    <w:rPr>
                      <w:kern w:val="0"/>
                      <w:szCs w:val="22"/>
                    </w:rPr>
                  </w:pPr>
                  <w:r>
                    <w:rPr>
                      <w:kern w:val="24"/>
                      <w:szCs w:val="22"/>
                    </w:rPr>
                    <w:t>μg/</w:t>
                  </w:r>
                  <w:r>
                    <w:rPr>
                      <w:kern w:val="0"/>
                      <w:szCs w:val="22"/>
                    </w:rPr>
                    <w:t>m</w:t>
                  </w:r>
                  <w:r>
                    <w:rPr>
                      <w:kern w:val="0"/>
                      <w:szCs w:val="22"/>
                      <w:vertAlign w:val="superscript"/>
                    </w:rPr>
                    <w:t>3</w:t>
                  </w:r>
                </w:p>
                <w:p>
                  <w:pPr>
                    <w:adjustRightInd w:val="0"/>
                    <w:snapToGrid w:val="0"/>
                    <w:jc w:val="center"/>
                    <w:rPr>
                      <w:kern w:val="0"/>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tcMar>
                    <w:top w:w="0" w:type="dxa"/>
                    <w:left w:w="28" w:type="dxa"/>
                    <w:bottom w:w="0" w:type="dxa"/>
                    <w:right w:w="28" w:type="dxa"/>
                  </w:tcMar>
                  <w:vAlign w:val="center"/>
                </w:tcPr>
                <w:p>
                  <w:pPr>
                    <w:widowControl/>
                    <w:adjustRightInd w:val="0"/>
                    <w:snapToGrid w:val="0"/>
                    <w:jc w:val="center"/>
                    <w:rPr>
                      <w:kern w:val="0"/>
                      <w:szCs w:val="22"/>
                    </w:rPr>
                  </w:pPr>
                </w:p>
              </w:tc>
              <w:tc>
                <w:tcPr>
                  <w:tcW w:w="1066" w:type="dxa"/>
                  <w:vMerge w:val="continue"/>
                  <w:tcMar>
                    <w:top w:w="0" w:type="dxa"/>
                    <w:left w:w="28" w:type="dxa"/>
                    <w:bottom w:w="0" w:type="dxa"/>
                    <w:right w:w="28" w:type="dxa"/>
                  </w:tcMar>
                  <w:vAlign w:val="center"/>
                </w:tcPr>
                <w:p>
                  <w:pPr>
                    <w:widowControl/>
                    <w:adjustRightInd w:val="0"/>
                    <w:snapToGrid w:val="0"/>
                    <w:jc w:val="center"/>
                    <w:rPr>
                      <w:kern w:val="0"/>
                      <w:szCs w:val="22"/>
                    </w:rPr>
                  </w:pPr>
                </w:p>
              </w:tc>
              <w:tc>
                <w:tcPr>
                  <w:tcW w:w="1197" w:type="dxa"/>
                  <w:vMerge w:val="continue"/>
                  <w:tcMar>
                    <w:top w:w="0" w:type="dxa"/>
                    <w:left w:w="28" w:type="dxa"/>
                    <w:bottom w:w="0" w:type="dxa"/>
                    <w:right w:w="28" w:type="dxa"/>
                  </w:tcMar>
                  <w:vAlign w:val="center"/>
                </w:tcPr>
                <w:p>
                  <w:pPr>
                    <w:widowControl/>
                    <w:adjustRightInd w:val="0"/>
                    <w:snapToGrid w:val="0"/>
                    <w:jc w:val="center"/>
                    <w:rPr>
                      <w:kern w:val="0"/>
                      <w:szCs w:val="22"/>
                    </w:rPr>
                  </w:pP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24</w:t>
                  </w:r>
                  <w:r>
                    <w:rPr>
                      <w:rFonts w:hint="eastAsia"/>
                      <w:kern w:val="0"/>
                      <w:szCs w:val="22"/>
                    </w:rPr>
                    <w:t>小时平均</w:t>
                  </w:r>
                </w:p>
              </w:tc>
              <w:tc>
                <w:tcPr>
                  <w:tcW w:w="801" w:type="dxa"/>
                  <w:vMerge w:val="continue"/>
                  <w:tcMar>
                    <w:top w:w="0" w:type="dxa"/>
                    <w:left w:w="28" w:type="dxa"/>
                    <w:bottom w:w="0" w:type="dxa"/>
                    <w:right w:w="28" w:type="dxa"/>
                  </w:tcMar>
                  <w:vAlign w:val="center"/>
                </w:tcPr>
                <w:p>
                  <w:pPr>
                    <w:adjustRightInd w:val="0"/>
                    <w:snapToGrid w:val="0"/>
                    <w:jc w:val="center"/>
                    <w:rPr>
                      <w:kern w:val="0"/>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Merge w:val="restart"/>
                  <w:tcMar>
                    <w:top w:w="0" w:type="dxa"/>
                    <w:left w:w="28" w:type="dxa"/>
                    <w:bottom w:w="0" w:type="dxa"/>
                    <w:right w:w="28" w:type="dxa"/>
                  </w:tcMar>
                  <w:vAlign w:val="center"/>
                </w:tcPr>
                <w:p>
                  <w:pPr>
                    <w:widowControl/>
                    <w:adjustRightInd w:val="0"/>
                    <w:snapToGrid w:val="0"/>
                    <w:jc w:val="center"/>
                    <w:rPr>
                      <w:kern w:val="0"/>
                      <w:szCs w:val="22"/>
                    </w:rPr>
                  </w:pPr>
                  <w:r>
                    <w:rPr>
                      <w:kern w:val="0"/>
                      <w:szCs w:val="22"/>
                    </w:rPr>
                    <w:t>PM</w:t>
                  </w:r>
                  <w:r>
                    <w:rPr>
                      <w:kern w:val="0"/>
                      <w:szCs w:val="22"/>
                      <w:vertAlign w:val="subscript"/>
                    </w:rPr>
                    <w:t>2.5</w:t>
                  </w: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年平均</w:t>
                  </w:r>
                </w:p>
              </w:tc>
              <w:tc>
                <w:tcPr>
                  <w:tcW w:w="801" w:type="dxa"/>
                  <w:vMerge w:val="continue"/>
                  <w:vAlign w:val="center"/>
                </w:tcPr>
                <w:p>
                  <w:pPr>
                    <w:adjustRightInd w:val="0"/>
                    <w:snapToGrid w:val="0"/>
                    <w:jc w:val="center"/>
                    <w:rPr>
                      <w:kern w:val="0"/>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Merge w:val="continue"/>
                  <w:tcMar>
                    <w:top w:w="0" w:type="dxa"/>
                    <w:left w:w="28" w:type="dxa"/>
                    <w:bottom w:w="0" w:type="dxa"/>
                    <w:right w:w="28" w:type="dxa"/>
                  </w:tcMar>
                  <w:vAlign w:val="center"/>
                </w:tcPr>
                <w:p>
                  <w:pPr>
                    <w:widowControl/>
                    <w:adjustRightInd w:val="0"/>
                    <w:snapToGrid w:val="0"/>
                    <w:jc w:val="center"/>
                    <w:rPr>
                      <w:kern w:val="0"/>
                      <w:szCs w:val="22"/>
                    </w:rPr>
                  </w:pP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24</w:t>
                  </w:r>
                  <w:r>
                    <w:rPr>
                      <w:rFonts w:hint="eastAsia"/>
                      <w:kern w:val="0"/>
                      <w:szCs w:val="22"/>
                    </w:rPr>
                    <w:t>小时平均</w:t>
                  </w:r>
                </w:p>
              </w:tc>
              <w:tc>
                <w:tcPr>
                  <w:tcW w:w="801" w:type="dxa"/>
                  <w:vMerge w:val="continue"/>
                  <w:vAlign w:val="center"/>
                </w:tcPr>
                <w:p>
                  <w:pPr>
                    <w:adjustRightInd w:val="0"/>
                    <w:snapToGrid w:val="0"/>
                    <w:jc w:val="center"/>
                    <w:rPr>
                      <w:kern w:val="24"/>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Merge w:val="restart"/>
                  <w:tcMar>
                    <w:top w:w="0" w:type="dxa"/>
                    <w:left w:w="28" w:type="dxa"/>
                    <w:bottom w:w="0" w:type="dxa"/>
                    <w:right w:w="28" w:type="dxa"/>
                  </w:tcMar>
                  <w:vAlign w:val="center"/>
                </w:tcPr>
                <w:p>
                  <w:pPr>
                    <w:widowControl/>
                    <w:adjustRightInd w:val="0"/>
                    <w:snapToGrid w:val="0"/>
                    <w:jc w:val="center"/>
                    <w:rPr>
                      <w:kern w:val="0"/>
                      <w:szCs w:val="22"/>
                    </w:rPr>
                  </w:pPr>
                  <w:r>
                    <w:rPr>
                      <w:kern w:val="0"/>
                      <w:szCs w:val="22"/>
                    </w:rPr>
                    <w:t>SO</w:t>
                  </w:r>
                  <w:r>
                    <w:rPr>
                      <w:kern w:val="0"/>
                      <w:szCs w:val="22"/>
                      <w:vertAlign w:val="subscript"/>
                    </w:rPr>
                    <w:t>2</w:t>
                  </w: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年平均</w:t>
                  </w:r>
                </w:p>
              </w:tc>
              <w:tc>
                <w:tcPr>
                  <w:tcW w:w="801" w:type="dxa"/>
                  <w:vMerge w:val="continue"/>
                  <w:vAlign w:val="center"/>
                </w:tcPr>
                <w:p>
                  <w:pPr>
                    <w:adjustRightInd w:val="0"/>
                    <w:snapToGrid w:val="0"/>
                    <w:jc w:val="center"/>
                    <w:rPr>
                      <w:kern w:val="0"/>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Merge w:val="continue"/>
                  <w:vAlign w:val="center"/>
                </w:tcPr>
                <w:p>
                  <w:pPr>
                    <w:widowControl/>
                    <w:adjustRightInd w:val="0"/>
                    <w:snapToGrid w:val="0"/>
                    <w:jc w:val="center"/>
                    <w:rPr>
                      <w:kern w:val="0"/>
                      <w:szCs w:val="22"/>
                    </w:rPr>
                  </w:pP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24</w:t>
                  </w:r>
                  <w:r>
                    <w:rPr>
                      <w:rFonts w:hint="eastAsia"/>
                      <w:kern w:val="0"/>
                      <w:szCs w:val="22"/>
                    </w:rPr>
                    <w:t>小时平均</w:t>
                  </w:r>
                </w:p>
              </w:tc>
              <w:tc>
                <w:tcPr>
                  <w:tcW w:w="801" w:type="dxa"/>
                  <w:vMerge w:val="continue"/>
                  <w:vAlign w:val="center"/>
                </w:tcPr>
                <w:p>
                  <w:pPr>
                    <w:adjustRightInd w:val="0"/>
                    <w:snapToGrid w:val="0"/>
                    <w:jc w:val="center"/>
                    <w:rPr>
                      <w:kern w:val="0"/>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Merge w:val="continue"/>
                  <w:vAlign w:val="center"/>
                </w:tcPr>
                <w:p>
                  <w:pPr>
                    <w:widowControl/>
                    <w:adjustRightInd w:val="0"/>
                    <w:snapToGrid w:val="0"/>
                    <w:jc w:val="center"/>
                    <w:rPr>
                      <w:kern w:val="0"/>
                      <w:szCs w:val="22"/>
                    </w:rPr>
                  </w:pP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1小时平均</w:t>
                  </w:r>
                </w:p>
              </w:tc>
              <w:tc>
                <w:tcPr>
                  <w:tcW w:w="801" w:type="dxa"/>
                  <w:vMerge w:val="continue"/>
                  <w:vAlign w:val="center"/>
                </w:tcPr>
                <w:p>
                  <w:pPr>
                    <w:adjustRightInd w:val="0"/>
                    <w:snapToGrid w:val="0"/>
                    <w:jc w:val="center"/>
                    <w:rPr>
                      <w:kern w:val="0"/>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Merge w:val="restart"/>
                  <w:vAlign w:val="center"/>
                </w:tcPr>
                <w:p>
                  <w:pPr>
                    <w:widowControl/>
                    <w:adjustRightInd w:val="0"/>
                    <w:snapToGrid w:val="0"/>
                    <w:jc w:val="center"/>
                    <w:rPr>
                      <w:kern w:val="0"/>
                      <w:szCs w:val="22"/>
                    </w:rPr>
                  </w:pPr>
                  <w:r>
                    <w:rPr>
                      <w:kern w:val="0"/>
                      <w:szCs w:val="22"/>
                    </w:rPr>
                    <w:t>NO</w:t>
                  </w:r>
                  <w:r>
                    <w:rPr>
                      <w:kern w:val="0"/>
                      <w:szCs w:val="22"/>
                      <w:vertAlign w:val="subscript"/>
                    </w:rPr>
                    <w:t>2</w:t>
                  </w: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年平均</w:t>
                  </w:r>
                </w:p>
              </w:tc>
              <w:tc>
                <w:tcPr>
                  <w:tcW w:w="801" w:type="dxa"/>
                  <w:vMerge w:val="continue"/>
                  <w:vAlign w:val="center"/>
                </w:tcPr>
                <w:p>
                  <w:pPr>
                    <w:adjustRightInd w:val="0"/>
                    <w:snapToGrid w:val="0"/>
                    <w:jc w:val="center"/>
                    <w:rPr>
                      <w:kern w:val="0"/>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Merge w:val="continue"/>
                  <w:vAlign w:val="center"/>
                </w:tcPr>
                <w:p>
                  <w:pPr>
                    <w:widowControl/>
                    <w:adjustRightInd w:val="0"/>
                    <w:snapToGrid w:val="0"/>
                    <w:jc w:val="center"/>
                    <w:rPr>
                      <w:kern w:val="0"/>
                      <w:szCs w:val="22"/>
                    </w:rPr>
                  </w:pP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24</w:t>
                  </w:r>
                  <w:r>
                    <w:rPr>
                      <w:rFonts w:hint="eastAsia"/>
                      <w:kern w:val="0"/>
                      <w:szCs w:val="22"/>
                    </w:rPr>
                    <w:t>小时平均</w:t>
                  </w:r>
                </w:p>
              </w:tc>
              <w:tc>
                <w:tcPr>
                  <w:tcW w:w="801" w:type="dxa"/>
                  <w:vMerge w:val="continue"/>
                  <w:vAlign w:val="center"/>
                </w:tcPr>
                <w:p>
                  <w:pPr>
                    <w:adjustRightInd w:val="0"/>
                    <w:snapToGrid w:val="0"/>
                    <w:jc w:val="center"/>
                    <w:rPr>
                      <w:kern w:val="0"/>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kern w:val="0"/>
                      <w:szCs w:val="22"/>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Merge w:val="continue"/>
                  <w:vAlign w:val="center"/>
                </w:tcPr>
                <w:p>
                  <w:pPr>
                    <w:widowControl/>
                    <w:adjustRightInd w:val="0"/>
                    <w:snapToGrid w:val="0"/>
                    <w:jc w:val="center"/>
                    <w:rPr>
                      <w:kern w:val="0"/>
                      <w:szCs w:val="22"/>
                    </w:rPr>
                  </w:pP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1小时平均</w:t>
                  </w:r>
                </w:p>
              </w:tc>
              <w:tc>
                <w:tcPr>
                  <w:tcW w:w="801" w:type="dxa"/>
                  <w:vMerge w:val="continue"/>
                  <w:vAlign w:val="center"/>
                </w:tcPr>
                <w:p>
                  <w:pPr>
                    <w:adjustRightInd w:val="0"/>
                    <w:snapToGrid w:val="0"/>
                    <w:jc w:val="center"/>
                    <w:rPr>
                      <w:kern w:val="0"/>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Align w:val="center"/>
                </w:tcPr>
                <w:p>
                  <w:pPr>
                    <w:widowControl/>
                    <w:adjustRightInd w:val="0"/>
                    <w:snapToGrid w:val="0"/>
                    <w:jc w:val="center"/>
                    <w:rPr>
                      <w:kern w:val="0"/>
                      <w:szCs w:val="22"/>
                    </w:rPr>
                  </w:pPr>
                  <w:r>
                    <w:rPr>
                      <w:rFonts w:hint="eastAsia"/>
                      <w:kern w:val="0"/>
                      <w:szCs w:val="22"/>
                    </w:rPr>
                    <w:t>O</w:t>
                  </w:r>
                  <w:r>
                    <w:rPr>
                      <w:kern w:val="0"/>
                      <w:szCs w:val="22"/>
                      <w:vertAlign w:val="subscript"/>
                    </w:rPr>
                    <w:t>3</w:t>
                  </w: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日最大8小时平均</w:t>
                  </w:r>
                </w:p>
              </w:tc>
              <w:tc>
                <w:tcPr>
                  <w:tcW w:w="801" w:type="dxa"/>
                  <w:vMerge w:val="continue"/>
                  <w:vAlign w:val="center"/>
                </w:tcPr>
                <w:p>
                  <w:pPr>
                    <w:widowControl/>
                    <w:adjustRightInd w:val="0"/>
                    <w:snapToGrid w:val="0"/>
                    <w:jc w:val="center"/>
                    <w:rPr>
                      <w:kern w:val="0"/>
                      <w:szCs w:val="22"/>
                    </w:rPr>
                  </w:pP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vMerge w:val="continue"/>
                  <w:vAlign w:val="center"/>
                </w:tcPr>
                <w:p>
                  <w:pPr>
                    <w:widowControl/>
                    <w:adjustRightInd w:val="0"/>
                    <w:snapToGrid w:val="0"/>
                    <w:jc w:val="center"/>
                    <w:rPr>
                      <w:kern w:val="0"/>
                      <w:szCs w:val="22"/>
                    </w:rPr>
                  </w:pPr>
                </w:p>
              </w:tc>
              <w:tc>
                <w:tcPr>
                  <w:tcW w:w="1066" w:type="dxa"/>
                  <w:vMerge w:val="continue"/>
                  <w:vAlign w:val="center"/>
                </w:tcPr>
                <w:p>
                  <w:pPr>
                    <w:widowControl/>
                    <w:adjustRightInd w:val="0"/>
                    <w:snapToGrid w:val="0"/>
                    <w:jc w:val="center"/>
                    <w:rPr>
                      <w:kern w:val="0"/>
                      <w:szCs w:val="22"/>
                    </w:rPr>
                  </w:pPr>
                </w:p>
              </w:tc>
              <w:tc>
                <w:tcPr>
                  <w:tcW w:w="1197" w:type="dxa"/>
                  <w:vAlign w:val="center"/>
                </w:tcPr>
                <w:p>
                  <w:pPr>
                    <w:widowControl/>
                    <w:adjustRightInd w:val="0"/>
                    <w:snapToGrid w:val="0"/>
                    <w:jc w:val="center"/>
                    <w:rPr>
                      <w:kern w:val="0"/>
                      <w:szCs w:val="22"/>
                    </w:rPr>
                  </w:pPr>
                  <w:r>
                    <w:rPr>
                      <w:rFonts w:hint="eastAsia"/>
                      <w:kern w:val="0"/>
                      <w:szCs w:val="22"/>
                    </w:rPr>
                    <w:t>C</w:t>
                  </w:r>
                  <w:r>
                    <w:rPr>
                      <w:kern w:val="0"/>
                      <w:szCs w:val="22"/>
                    </w:rPr>
                    <w:t>O</w:t>
                  </w:r>
                </w:p>
              </w:tc>
              <w:tc>
                <w:tcPr>
                  <w:tcW w:w="1862"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24小时平均</w:t>
                  </w:r>
                </w:p>
              </w:tc>
              <w:tc>
                <w:tcPr>
                  <w:tcW w:w="801" w:type="dxa"/>
                  <w:vAlign w:val="center"/>
                </w:tcPr>
                <w:p>
                  <w:pPr>
                    <w:widowControl/>
                    <w:adjustRightInd w:val="0"/>
                    <w:snapToGrid w:val="0"/>
                    <w:jc w:val="center"/>
                    <w:rPr>
                      <w:kern w:val="0"/>
                      <w:szCs w:val="22"/>
                    </w:rPr>
                  </w:pPr>
                  <w:r>
                    <w:rPr>
                      <w:rFonts w:hint="eastAsia"/>
                      <w:kern w:val="24"/>
                      <w:szCs w:val="22"/>
                    </w:rPr>
                    <w:t>m</w:t>
                  </w:r>
                  <w:r>
                    <w:rPr>
                      <w:kern w:val="24"/>
                      <w:szCs w:val="22"/>
                    </w:rPr>
                    <w:t>g/</w:t>
                  </w:r>
                  <w:r>
                    <w:rPr>
                      <w:kern w:val="0"/>
                      <w:szCs w:val="22"/>
                    </w:rPr>
                    <w:t>m</w:t>
                  </w:r>
                  <w:r>
                    <w:rPr>
                      <w:kern w:val="0"/>
                      <w:szCs w:val="22"/>
                      <w:vertAlign w:val="superscript"/>
                    </w:rPr>
                    <w:t>3</w:t>
                  </w:r>
                </w:p>
              </w:tc>
              <w:tc>
                <w:tcPr>
                  <w:tcW w:w="934" w:type="dxa"/>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4</w:t>
                  </w:r>
                </w:p>
              </w:tc>
            </w:tr>
          </w:tbl>
          <w:p>
            <w:pPr>
              <w:pStyle w:val="2"/>
              <w:numPr>
                <w:ilvl w:val="0"/>
                <w:numId w:val="1"/>
              </w:numPr>
              <w:adjustRightInd w:val="0"/>
              <w:snapToGrid w:val="0"/>
              <w:spacing w:line="360" w:lineRule="auto"/>
              <w:ind w:left="357" w:leftChars="0" w:firstLineChars="0"/>
            </w:pPr>
            <w:r>
              <w:rPr>
                <w:rFonts w:hint="eastAsia"/>
              </w:rPr>
              <w:t>地表水环境质量</w:t>
            </w:r>
          </w:p>
          <w:p>
            <w:pPr>
              <w:pStyle w:val="2"/>
              <w:adjustRightInd w:val="0"/>
              <w:snapToGrid w:val="0"/>
              <w:spacing w:line="360" w:lineRule="auto"/>
              <w:ind w:left="357" w:leftChars="0" w:firstLine="0" w:firstLineChars="0"/>
            </w:pPr>
            <w:r>
              <w:rPr>
                <w:rFonts w:hint="eastAsia"/>
              </w:rPr>
              <w:t>执行《地表水质量标准》（GB3838-2002）中Ⅱ类标准，标准值摘录于表9</w:t>
            </w:r>
            <w:r>
              <w:t>;</w:t>
            </w:r>
          </w:p>
          <w:p>
            <w:pPr>
              <w:adjustRightInd w:val="0"/>
              <w:snapToGrid w:val="0"/>
              <w:spacing w:line="360" w:lineRule="auto"/>
              <w:jc w:val="center"/>
              <w:outlineLvl w:val="4"/>
              <w:rPr>
                <w:rFonts w:eastAsia="黑体"/>
                <w:sz w:val="24"/>
                <w:szCs w:val="21"/>
              </w:rPr>
            </w:pPr>
            <w:r>
              <w:rPr>
                <w:rFonts w:hint="eastAsia" w:eastAsia="黑体"/>
                <w:sz w:val="24"/>
                <w:szCs w:val="21"/>
              </w:rPr>
              <w:t>表9</w:t>
            </w:r>
            <w:r>
              <w:rPr>
                <w:rFonts w:eastAsia="黑体"/>
                <w:sz w:val="24"/>
                <w:szCs w:val="21"/>
              </w:rPr>
              <w:t xml:space="preserve"> </w:t>
            </w:r>
            <w:r>
              <w:rPr>
                <w:rFonts w:hint="eastAsia" w:eastAsia="黑体"/>
                <w:sz w:val="24"/>
                <w:szCs w:val="21"/>
              </w:rPr>
              <w:t>地表水环境质量标准</w:t>
            </w:r>
          </w:p>
          <w:tbl>
            <w:tblPr>
              <w:tblStyle w:val="25"/>
              <w:tblW w:w="808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202"/>
              <w:gridCol w:w="1357"/>
              <w:gridCol w:w="1117"/>
              <w:gridCol w:w="1087"/>
              <w:gridCol w:w="1054"/>
              <w:gridCol w:w="11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095" w:type="dxa"/>
                  <w:vAlign w:val="center"/>
                </w:tcPr>
                <w:p>
                  <w:pPr>
                    <w:widowControl/>
                    <w:adjustRightInd w:val="0"/>
                    <w:snapToGrid w:val="0"/>
                    <w:jc w:val="center"/>
                    <w:rPr>
                      <w:kern w:val="0"/>
                      <w:szCs w:val="22"/>
                    </w:rPr>
                  </w:pPr>
                  <w:r>
                    <w:rPr>
                      <w:rFonts w:hint="eastAsia"/>
                      <w:kern w:val="0"/>
                      <w:szCs w:val="22"/>
                    </w:rPr>
                    <w:t>项目</w:t>
                  </w:r>
                </w:p>
              </w:tc>
              <w:tc>
                <w:tcPr>
                  <w:tcW w:w="1202" w:type="dxa"/>
                  <w:vAlign w:val="center"/>
                </w:tcPr>
                <w:p>
                  <w:pPr>
                    <w:widowControl/>
                    <w:adjustRightInd w:val="0"/>
                    <w:snapToGrid w:val="0"/>
                    <w:jc w:val="center"/>
                    <w:rPr>
                      <w:kern w:val="0"/>
                      <w:szCs w:val="22"/>
                    </w:rPr>
                  </w:pPr>
                  <w:r>
                    <w:rPr>
                      <w:rFonts w:hint="eastAsia"/>
                      <w:kern w:val="0"/>
                      <w:szCs w:val="22"/>
                    </w:rPr>
                    <w:t>类别</w:t>
                  </w:r>
                </w:p>
              </w:tc>
              <w:tc>
                <w:tcPr>
                  <w:tcW w:w="1357" w:type="dxa"/>
                  <w:vAlign w:val="center"/>
                </w:tcPr>
                <w:p>
                  <w:pPr>
                    <w:widowControl/>
                    <w:adjustRightInd w:val="0"/>
                    <w:snapToGrid w:val="0"/>
                    <w:jc w:val="center"/>
                    <w:rPr>
                      <w:kern w:val="0"/>
                      <w:szCs w:val="22"/>
                    </w:rPr>
                  </w:pPr>
                  <w:r>
                    <w:rPr>
                      <w:rFonts w:hint="eastAsia"/>
                      <w:kern w:val="0"/>
                      <w:szCs w:val="22"/>
                    </w:rPr>
                    <w:t>p</w:t>
                  </w:r>
                  <w:r>
                    <w:rPr>
                      <w:kern w:val="0"/>
                      <w:szCs w:val="22"/>
                    </w:rPr>
                    <w:t>H</w:t>
                  </w:r>
                </w:p>
              </w:tc>
              <w:tc>
                <w:tcPr>
                  <w:tcW w:w="1117" w:type="dxa"/>
                  <w:vAlign w:val="center"/>
                </w:tcPr>
                <w:p>
                  <w:pPr>
                    <w:widowControl/>
                    <w:adjustRightInd w:val="0"/>
                    <w:snapToGrid w:val="0"/>
                    <w:jc w:val="center"/>
                    <w:rPr>
                      <w:kern w:val="0"/>
                      <w:szCs w:val="22"/>
                    </w:rPr>
                  </w:pPr>
                  <w:r>
                    <w:rPr>
                      <w:rFonts w:hint="eastAsia"/>
                      <w:kern w:val="0"/>
                      <w:szCs w:val="22"/>
                    </w:rPr>
                    <w:t>C</w:t>
                  </w:r>
                  <w:r>
                    <w:rPr>
                      <w:kern w:val="0"/>
                      <w:szCs w:val="22"/>
                    </w:rPr>
                    <w:t>OD</w:t>
                  </w:r>
                </w:p>
              </w:tc>
              <w:tc>
                <w:tcPr>
                  <w:tcW w:w="1087" w:type="dxa"/>
                  <w:vAlign w:val="center"/>
                </w:tcPr>
                <w:p>
                  <w:pPr>
                    <w:widowControl/>
                    <w:adjustRightInd w:val="0"/>
                    <w:snapToGrid w:val="0"/>
                    <w:jc w:val="center"/>
                    <w:rPr>
                      <w:kern w:val="0"/>
                      <w:szCs w:val="22"/>
                      <w:vertAlign w:val="subscript"/>
                    </w:rPr>
                  </w:pPr>
                  <w:r>
                    <w:rPr>
                      <w:rFonts w:hint="eastAsia"/>
                      <w:kern w:val="0"/>
                      <w:szCs w:val="22"/>
                    </w:rPr>
                    <w:t>B</w:t>
                  </w:r>
                  <w:r>
                    <w:rPr>
                      <w:kern w:val="0"/>
                      <w:szCs w:val="22"/>
                    </w:rPr>
                    <w:t>OD</w:t>
                  </w:r>
                  <w:r>
                    <w:rPr>
                      <w:kern w:val="0"/>
                      <w:szCs w:val="22"/>
                      <w:vertAlign w:val="subscript"/>
                    </w:rPr>
                    <w:t>5</w:t>
                  </w:r>
                </w:p>
              </w:tc>
              <w:tc>
                <w:tcPr>
                  <w:tcW w:w="1054" w:type="dxa"/>
                  <w:vAlign w:val="center"/>
                </w:tcPr>
                <w:p>
                  <w:pPr>
                    <w:widowControl/>
                    <w:adjustRightInd w:val="0"/>
                    <w:snapToGrid w:val="0"/>
                    <w:jc w:val="center"/>
                    <w:rPr>
                      <w:kern w:val="0"/>
                      <w:szCs w:val="22"/>
                    </w:rPr>
                  </w:pPr>
                  <w:r>
                    <w:rPr>
                      <w:rFonts w:hint="eastAsia"/>
                      <w:kern w:val="0"/>
                      <w:szCs w:val="22"/>
                    </w:rPr>
                    <w:t>N</w:t>
                  </w:r>
                  <w:r>
                    <w:rPr>
                      <w:kern w:val="0"/>
                      <w:szCs w:val="22"/>
                    </w:rPr>
                    <w:t>H</w:t>
                  </w:r>
                  <w:r>
                    <w:rPr>
                      <w:rFonts w:hint="eastAsia"/>
                      <w:kern w:val="0"/>
                      <w:szCs w:val="22"/>
                      <w:vertAlign w:val="subscript"/>
                    </w:rPr>
                    <w:t>3</w:t>
                  </w:r>
                  <w:r>
                    <w:rPr>
                      <w:kern w:val="0"/>
                      <w:szCs w:val="22"/>
                    </w:rPr>
                    <w:t>-N</w:t>
                  </w:r>
                </w:p>
              </w:tc>
              <w:tc>
                <w:tcPr>
                  <w:tcW w:w="1176" w:type="dxa"/>
                  <w:vAlign w:val="center"/>
                </w:tcPr>
                <w:p>
                  <w:pPr>
                    <w:widowControl/>
                    <w:adjustRightInd w:val="0"/>
                    <w:snapToGrid w:val="0"/>
                    <w:jc w:val="center"/>
                    <w:rPr>
                      <w:kern w:val="0"/>
                      <w:szCs w:val="22"/>
                    </w:rPr>
                  </w:pPr>
                  <w:r>
                    <w:rPr>
                      <w:rFonts w:hint="eastAsia"/>
                      <w:kern w:val="0"/>
                      <w:szCs w:val="22"/>
                    </w:rPr>
                    <w:t>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095" w:type="dxa"/>
                  <w:vAlign w:val="center"/>
                </w:tcPr>
                <w:p>
                  <w:pPr>
                    <w:widowControl/>
                    <w:adjustRightInd w:val="0"/>
                    <w:snapToGrid w:val="0"/>
                    <w:jc w:val="center"/>
                    <w:rPr>
                      <w:kern w:val="0"/>
                      <w:szCs w:val="22"/>
                    </w:rPr>
                  </w:pPr>
                  <w:r>
                    <w:rPr>
                      <w:rFonts w:hint="eastAsia"/>
                      <w:kern w:val="0"/>
                      <w:szCs w:val="22"/>
                    </w:rPr>
                    <w:t>标准值</w:t>
                  </w:r>
                </w:p>
              </w:tc>
              <w:tc>
                <w:tcPr>
                  <w:tcW w:w="1202" w:type="dxa"/>
                  <w:vAlign w:val="center"/>
                </w:tcPr>
                <w:p>
                  <w:pPr>
                    <w:widowControl/>
                    <w:adjustRightInd w:val="0"/>
                    <w:snapToGrid w:val="0"/>
                    <w:jc w:val="center"/>
                    <w:rPr>
                      <w:kern w:val="0"/>
                      <w:szCs w:val="22"/>
                    </w:rPr>
                  </w:pPr>
                  <w:r>
                    <w:rPr>
                      <w:rFonts w:hint="eastAsia"/>
                    </w:rPr>
                    <w:t>Ⅱ</w:t>
                  </w:r>
                  <w:r>
                    <w:rPr>
                      <w:rFonts w:hint="eastAsia"/>
                      <w:kern w:val="0"/>
                      <w:szCs w:val="22"/>
                    </w:rPr>
                    <w:t>类水域</w:t>
                  </w:r>
                </w:p>
              </w:tc>
              <w:tc>
                <w:tcPr>
                  <w:tcW w:w="1357" w:type="dxa"/>
                  <w:vAlign w:val="center"/>
                </w:tcPr>
                <w:p>
                  <w:pPr>
                    <w:widowControl/>
                    <w:adjustRightInd w:val="0"/>
                    <w:snapToGrid w:val="0"/>
                    <w:jc w:val="center"/>
                    <w:rPr>
                      <w:kern w:val="0"/>
                      <w:szCs w:val="22"/>
                    </w:rPr>
                  </w:pPr>
                  <w:r>
                    <w:rPr>
                      <w:rFonts w:hint="eastAsia"/>
                      <w:kern w:val="0"/>
                      <w:szCs w:val="22"/>
                    </w:rPr>
                    <w:t>6-9</w:t>
                  </w:r>
                </w:p>
              </w:tc>
              <w:tc>
                <w:tcPr>
                  <w:tcW w:w="1117" w:type="dxa"/>
                  <w:vAlign w:val="center"/>
                </w:tcPr>
                <w:p>
                  <w:pPr>
                    <w:widowControl/>
                    <w:adjustRightInd w:val="0"/>
                    <w:snapToGrid w:val="0"/>
                    <w:jc w:val="center"/>
                    <w:rPr>
                      <w:kern w:val="0"/>
                      <w:szCs w:val="22"/>
                    </w:rPr>
                  </w:pPr>
                  <w:r>
                    <w:rPr>
                      <w:rFonts w:hint="eastAsia"/>
                      <w:kern w:val="0"/>
                      <w:szCs w:val="22"/>
                    </w:rPr>
                    <w:t>15</w:t>
                  </w:r>
                </w:p>
              </w:tc>
              <w:tc>
                <w:tcPr>
                  <w:tcW w:w="1087" w:type="dxa"/>
                  <w:vAlign w:val="center"/>
                </w:tcPr>
                <w:p>
                  <w:pPr>
                    <w:widowControl/>
                    <w:adjustRightInd w:val="0"/>
                    <w:snapToGrid w:val="0"/>
                    <w:jc w:val="center"/>
                    <w:rPr>
                      <w:kern w:val="0"/>
                      <w:szCs w:val="22"/>
                    </w:rPr>
                  </w:pPr>
                  <w:r>
                    <w:rPr>
                      <w:rFonts w:hint="eastAsia"/>
                      <w:kern w:val="0"/>
                      <w:szCs w:val="22"/>
                    </w:rPr>
                    <w:t>3</w:t>
                  </w:r>
                </w:p>
              </w:tc>
              <w:tc>
                <w:tcPr>
                  <w:tcW w:w="1054" w:type="dxa"/>
                  <w:vAlign w:val="center"/>
                </w:tcPr>
                <w:p>
                  <w:pPr>
                    <w:widowControl/>
                    <w:adjustRightInd w:val="0"/>
                    <w:snapToGrid w:val="0"/>
                    <w:jc w:val="center"/>
                    <w:rPr>
                      <w:kern w:val="0"/>
                      <w:szCs w:val="22"/>
                    </w:rPr>
                  </w:pPr>
                  <w:r>
                    <w:rPr>
                      <w:rFonts w:hint="eastAsia"/>
                      <w:kern w:val="0"/>
                      <w:szCs w:val="22"/>
                    </w:rPr>
                    <w:t>0.5</w:t>
                  </w:r>
                </w:p>
              </w:tc>
              <w:tc>
                <w:tcPr>
                  <w:tcW w:w="1176" w:type="dxa"/>
                  <w:vAlign w:val="center"/>
                </w:tcPr>
                <w:p>
                  <w:pPr>
                    <w:widowControl/>
                    <w:adjustRightInd w:val="0"/>
                    <w:snapToGrid w:val="0"/>
                    <w:jc w:val="center"/>
                    <w:rPr>
                      <w:kern w:val="0"/>
                      <w:szCs w:val="22"/>
                    </w:rPr>
                  </w:pPr>
                  <w:r>
                    <w:rPr>
                      <w:rFonts w:hint="eastAsia"/>
                      <w:kern w:val="0"/>
                      <w:szCs w:val="22"/>
                    </w:rPr>
                    <w:t>0.05</w:t>
                  </w:r>
                </w:p>
              </w:tc>
            </w:tr>
          </w:tbl>
          <w:p>
            <w:pPr>
              <w:pStyle w:val="2"/>
              <w:numPr>
                <w:ilvl w:val="0"/>
                <w:numId w:val="1"/>
              </w:numPr>
              <w:adjustRightInd w:val="0"/>
              <w:snapToGrid w:val="0"/>
              <w:spacing w:line="360" w:lineRule="auto"/>
              <w:ind w:leftChars="0" w:firstLineChars="0"/>
            </w:pPr>
            <w:r>
              <w:rPr>
                <w:rFonts w:hint="eastAsia"/>
              </w:rPr>
              <w:t>声环境质量</w:t>
            </w:r>
          </w:p>
          <w:p>
            <w:pPr>
              <w:pStyle w:val="2"/>
              <w:adjustRightInd w:val="0"/>
              <w:snapToGrid w:val="0"/>
              <w:spacing w:line="360" w:lineRule="auto"/>
              <w:ind w:left="360" w:leftChars="0" w:firstLine="0" w:firstLineChars="0"/>
            </w:pPr>
            <w:r>
              <w:rPr>
                <w:rFonts w:hint="eastAsia"/>
              </w:rPr>
              <w:t>执行国家《声环境质量标准》（GB3096-2008）中的2类标准，标准值摘录于表10;</w:t>
            </w:r>
          </w:p>
          <w:p>
            <w:pPr>
              <w:adjustRightInd w:val="0"/>
              <w:snapToGrid w:val="0"/>
              <w:spacing w:line="360" w:lineRule="auto"/>
              <w:jc w:val="center"/>
              <w:outlineLvl w:val="4"/>
              <w:rPr>
                <w:rFonts w:eastAsia="黑体"/>
                <w:sz w:val="24"/>
                <w:szCs w:val="21"/>
              </w:rPr>
            </w:pPr>
            <w:r>
              <w:rPr>
                <w:rFonts w:hint="eastAsia" w:eastAsia="黑体"/>
                <w:sz w:val="24"/>
                <w:szCs w:val="21"/>
              </w:rPr>
              <w:t>表</w:t>
            </w:r>
            <w:r>
              <w:rPr>
                <w:rFonts w:eastAsia="黑体"/>
                <w:sz w:val="24"/>
                <w:szCs w:val="21"/>
              </w:rPr>
              <w:t>1</w:t>
            </w:r>
            <w:r>
              <w:rPr>
                <w:rFonts w:hint="eastAsia" w:eastAsia="黑体"/>
                <w:sz w:val="24"/>
                <w:szCs w:val="21"/>
              </w:rPr>
              <w:t>0</w:t>
            </w:r>
            <w:r>
              <w:rPr>
                <w:rFonts w:eastAsia="黑体"/>
                <w:sz w:val="24"/>
                <w:szCs w:val="21"/>
              </w:rPr>
              <w:t xml:space="preserve"> </w:t>
            </w:r>
            <w:r>
              <w:rPr>
                <w:rFonts w:hint="eastAsia" w:eastAsia="黑体"/>
                <w:sz w:val="24"/>
                <w:szCs w:val="21"/>
              </w:rPr>
              <w:t>声环境质量标准</w:t>
            </w:r>
          </w:p>
          <w:tbl>
            <w:tblPr>
              <w:tblStyle w:val="25"/>
              <w:tblW w:w="789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98"/>
              <w:gridCol w:w="1073"/>
              <w:gridCol w:w="1518"/>
              <w:gridCol w:w="13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8" w:type="dxa"/>
                  <w:vMerge w:val="restart"/>
                  <w:tcMar>
                    <w:top w:w="0" w:type="dxa"/>
                    <w:left w:w="28" w:type="dxa"/>
                    <w:bottom w:w="0" w:type="dxa"/>
                    <w:right w:w="28" w:type="dxa"/>
                  </w:tcMar>
                  <w:vAlign w:val="center"/>
                </w:tcPr>
                <w:p>
                  <w:pPr>
                    <w:widowControl/>
                    <w:adjustRightInd w:val="0"/>
                    <w:snapToGrid w:val="0"/>
                    <w:jc w:val="center"/>
                    <w:rPr>
                      <w:kern w:val="0"/>
                      <w:szCs w:val="22"/>
                    </w:rPr>
                  </w:pPr>
                  <w:r>
                    <w:rPr>
                      <w:rFonts w:hint="eastAsia"/>
                      <w:kern w:val="0"/>
                      <w:szCs w:val="22"/>
                    </w:rPr>
                    <w:t>标准名称及级</w:t>
                  </w:r>
                  <w:r>
                    <w:rPr>
                      <w:kern w:val="0"/>
                      <w:szCs w:val="22"/>
                    </w:rPr>
                    <w:t>(</w:t>
                  </w:r>
                  <w:r>
                    <w:rPr>
                      <w:rFonts w:hint="eastAsia"/>
                      <w:kern w:val="0"/>
                      <w:szCs w:val="22"/>
                    </w:rPr>
                    <w:t>类</w:t>
                  </w:r>
                  <w:r>
                    <w:rPr>
                      <w:kern w:val="0"/>
                      <w:szCs w:val="22"/>
                    </w:rPr>
                    <w:t>)</w:t>
                  </w:r>
                  <w:r>
                    <w:rPr>
                      <w:rFonts w:hint="eastAsia"/>
                      <w:kern w:val="0"/>
                      <w:szCs w:val="22"/>
                    </w:rPr>
                    <w:t>别</w:t>
                  </w:r>
                </w:p>
              </w:tc>
              <w:tc>
                <w:tcPr>
                  <w:tcW w:w="1073" w:type="dxa"/>
                  <w:vMerge w:val="restart"/>
                  <w:vAlign w:val="center"/>
                </w:tcPr>
                <w:p>
                  <w:pPr>
                    <w:widowControl/>
                    <w:adjustRightInd w:val="0"/>
                    <w:snapToGrid w:val="0"/>
                    <w:jc w:val="center"/>
                    <w:rPr>
                      <w:kern w:val="0"/>
                      <w:szCs w:val="22"/>
                    </w:rPr>
                  </w:pPr>
                  <w:r>
                    <w:rPr>
                      <w:rFonts w:hint="eastAsia"/>
                      <w:kern w:val="0"/>
                      <w:szCs w:val="22"/>
                    </w:rPr>
                    <w:t>执行标准</w:t>
                  </w:r>
                </w:p>
              </w:tc>
              <w:tc>
                <w:tcPr>
                  <w:tcW w:w="2826" w:type="dxa"/>
                  <w:gridSpan w:val="2"/>
                  <w:vAlign w:val="center"/>
                </w:tcPr>
                <w:p>
                  <w:pPr>
                    <w:widowControl/>
                    <w:adjustRightInd w:val="0"/>
                    <w:snapToGrid w:val="0"/>
                    <w:jc w:val="center"/>
                    <w:rPr>
                      <w:kern w:val="0"/>
                      <w:szCs w:val="22"/>
                    </w:rPr>
                  </w:pPr>
                  <w:r>
                    <w:rPr>
                      <w:rFonts w:hint="eastAsia"/>
                      <w:kern w:val="0"/>
                      <w:szCs w:val="22"/>
                    </w:rPr>
                    <w:t>标准值（</w:t>
                  </w:r>
                  <w:r>
                    <w:rPr>
                      <w:kern w:val="0"/>
                      <w:szCs w:val="22"/>
                    </w:rPr>
                    <w:t>dB(A)</w:t>
                  </w:r>
                  <w:r>
                    <w:rPr>
                      <w:rFonts w:hint="eastAsia"/>
                      <w:kern w:val="0"/>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998" w:type="dxa"/>
                  <w:vMerge w:val="continue"/>
                  <w:vAlign w:val="center"/>
                </w:tcPr>
                <w:p>
                  <w:pPr>
                    <w:widowControl/>
                    <w:adjustRightInd w:val="0"/>
                    <w:snapToGrid w:val="0"/>
                    <w:jc w:val="center"/>
                    <w:rPr>
                      <w:kern w:val="0"/>
                      <w:szCs w:val="22"/>
                    </w:rPr>
                  </w:pPr>
                </w:p>
              </w:tc>
              <w:tc>
                <w:tcPr>
                  <w:tcW w:w="1073" w:type="dxa"/>
                  <w:vMerge w:val="continue"/>
                  <w:vAlign w:val="center"/>
                </w:tcPr>
                <w:p>
                  <w:pPr>
                    <w:widowControl/>
                    <w:adjustRightInd w:val="0"/>
                    <w:snapToGrid w:val="0"/>
                    <w:jc w:val="center"/>
                    <w:rPr>
                      <w:kern w:val="0"/>
                      <w:szCs w:val="22"/>
                    </w:rPr>
                  </w:pPr>
                </w:p>
              </w:tc>
              <w:tc>
                <w:tcPr>
                  <w:tcW w:w="1518" w:type="dxa"/>
                  <w:vAlign w:val="center"/>
                </w:tcPr>
                <w:p>
                  <w:pPr>
                    <w:widowControl/>
                    <w:adjustRightInd w:val="0"/>
                    <w:snapToGrid w:val="0"/>
                    <w:jc w:val="center"/>
                    <w:rPr>
                      <w:kern w:val="0"/>
                      <w:szCs w:val="22"/>
                    </w:rPr>
                  </w:pPr>
                  <w:r>
                    <w:rPr>
                      <w:rFonts w:hint="eastAsia"/>
                      <w:kern w:val="0"/>
                      <w:szCs w:val="22"/>
                    </w:rPr>
                    <w:t>昼间</w:t>
                  </w:r>
                </w:p>
              </w:tc>
              <w:tc>
                <w:tcPr>
                  <w:tcW w:w="1308" w:type="dxa"/>
                  <w:vAlign w:val="center"/>
                </w:tcPr>
                <w:p>
                  <w:pPr>
                    <w:widowControl/>
                    <w:adjustRightInd w:val="0"/>
                    <w:snapToGrid w:val="0"/>
                    <w:jc w:val="center"/>
                    <w:rPr>
                      <w:kern w:val="0"/>
                      <w:szCs w:val="22"/>
                    </w:rPr>
                  </w:pPr>
                  <w:r>
                    <w:rPr>
                      <w:rFonts w:hint="eastAsia"/>
                      <w:kern w:val="0"/>
                      <w:szCs w:val="22"/>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3998" w:type="dxa"/>
                  <w:vAlign w:val="center"/>
                </w:tcPr>
                <w:p>
                  <w:pPr>
                    <w:widowControl/>
                    <w:adjustRightInd w:val="0"/>
                    <w:snapToGrid w:val="0"/>
                    <w:jc w:val="center"/>
                    <w:rPr>
                      <w:kern w:val="0"/>
                      <w:szCs w:val="22"/>
                    </w:rPr>
                  </w:pPr>
                  <w:r>
                    <w:rPr>
                      <w:rFonts w:hint="eastAsia"/>
                      <w:kern w:val="0"/>
                      <w:szCs w:val="22"/>
                    </w:rPr>
                    <w:t>《声环境质量标准》（</w:t>
                  </w:r>
                  <w:r>
                    <w:rPr>
                      <w:kern w:val="0"/>
                      <w:szCs w:val="22"/>
                    </w:rPr>
                    <w:t>GB3096-2008</w:t>
                  </w:r>
                  <w:r>
                    <w:rPr>
                      <w:rFonts w:hint="eastAsia"/>
                      <w:kern w:val="0"/>
                      <w:szCs w:val="22"/>
                    </w:rPr>
                    <w:t>）</w:t>
                  </w:r>
                </w:p>
              </w:tc>
              <w:tc>
                <w:tcPr>
                  <w:tcW w:w="1073" w:type="dxa"/>
                  <w:vAlign w:val="center"/>
                </w:tcPr>
                <w:p>
                  <w:pPr>
                    <w:widowControl/>
                    <w:adjustRightInd w:val="0"/>
                    <w:snapToGrid w:val="0"/>
                    <w:jc w:val="center"/>
                    <w:rPr>
                      <w:kern w:val="0"/>
                      <w:szCs w:val="22"/>
                    </w:rPr>
                  </w:pPr>
                  <w:r>
                    <w:rPr>
                      <w:rFonts w:hint="eastAsia"/>
                      <w:kern w:val="0"/>
                      <w:szCs w:val="22"/>
                    </w:rPr>
                    <w:t>2类</w:t>
                  </w:r>
                </w:p>
              </w:tc>
              <w:tc>
                <w:tcPr>
                  <w:tcW w:w="1518" w:type="dxa"/>
                  <w:vAlign w:val="center"/>
                </w:tcPr>
                <w:p>
                  <w:pPr>
                    <w:widowControl/>
                    <w:adjustRightInd w:val="0"/>
                    <w:snapToGrid w:val="0"/>
                    <w:jc w:val="center"/>
                    <w:rPr>
                      <w:kern w:val="0"/>
                      <w:szCs w:val="22"/>
                    </w:rPr>
                  </w:pPr>
                  <w:r>
                    <w:rPr>
                      <w:rFonts w:hint="eastAsia"/>
                      <w:kern w:val="0"/>
                      <w:szCs w:val="22"/>
                    </w:rPr>
                    <w:t>60</w:t>
                  </w:r>
                </w:p>
              </w:tc>
              <w:tc>
                <w:tcPr>
                  <w:tcW w:w="1308" w:type="dxa"/>
                  <w:vAlign w:val="center"/>
                </w:tcPr>
                <w:p>
                  <w:pPr>
                    <w:widowControl/>
                    <w:adjustRightInd w:val="0"/>
                    <w:snapToGrid w:val="0"/>
                    <w:jc w:val="center"/>
                    <w:rPr>
                      <w:kern w:val="0"/>
                      <w:szCs w:val="22"/>
                    </w:rPr>
                  </w:pPr>
                  <w:r>
                    <w:rPr>
                      <w:rFonts w:hint="eastAsia"/>
                      <w:kern w:val="0"/>
                      <w:szCs w:val="22"/>
                    </w:rPr>
                    <w:t>50</w:t>
                  </w:r>
                </w:p>
              </w:tc>
            </w:tr>
          </w:tbl>
          <w:p>
            <w:pPr>
              <w:pStyle w:val="2"/>
              <w:adjustRightInd w:val="0"/>
              <w:snapToGrid w:val="0"/>
              <w:spacing w:line="360" w:lineRule="auto"/>
            </w:pPr>
          </w:p>
          <w:p>
            <w:pPr>
              <w:pStyle w:val="2"/>
              <w:adjustRightInd w:val="0"/>
              <w:snapToGrid w:val="0"/>
              <w:spacing w:line="360" w:lineRule="auto"/>
              <w:ind w:left="0" w:leftChars="0"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8" w:hRule="atLeast"/>
        </w:trPr>
        <w:tc>
          <w:tcPr>
            <w:tcW w:w="817" w:type="dxa"/>
            <w:vAlign w:val="center"/>
          </w:tcPr>
          <w:p>
            <w:pPr>
              <w:adjustRightInd w:val="0"/>
              <w:snapToGrid w:val="0"/>
              <w:spacing w:line="360" w:lineRule="auto"/>
              <w:jc w:val="center"/>
              <w:rPr>
                <w:sz w:val="24"/>
              </w:rPr>
            </w:pPr>
            <w:r>
              <w:rPr>
                <w:sz w:val="24"/>
              </w:rPr>
              <w:t>污</w:t>
            </w:r>
          </w:p>
          <w:p>
            <w:pPr>
              <w:adjustRightInd w:val="0"/>
              <w:snapToGrid w:val="0"/>
              <w:spacing w:line="360" w:lineRule="auto"/>
              <w:jc w:val="center"/>
              <w:rPr>
                <w:sz w:val="24"/>
              </w:rPr>
            </w:pPr>
            <w:r>
              <w:rPr>
                <w:sz w:val="24"/>
              </w:rPr>
              <w:t>染</w:t>
            </w:r>
          </w:p>
          <w:p>
            <w:pPr>
              <w:adjustRightInd w:val="0"/>
              <w:snapToGrid w:val="0"/>
              <w:spacing w:line="360" w:lineRule="auto"/>
              <w:jc w:val="center"/>
              <w:rPr>
                <w:sz w:val="24"/>
              </w:rPr>
            </w:pPr>
            <w:r>
              <w:rPr>
                <w:sz w:val="24"/>
              </w:rPr>
              <w:t>物</w:t>
            </w:r>
          </w:p>
          <w:p>
            <w:pPr>
              <w:adjustRightInd w:val="0"/>
              <w:snapToGrid w:val="0"/>
              <w:spacing w:line="360" w:lineRule="auto"/>
              <w:jc w:val="center"/>
              <w:rPr>
                <w:sz w:val="24"/>
              </w:rPr>
            </w:pPr>
            <w:r>
              <w:rPr>
                <w:sz w:val="24"/>
              </w:rPr>
              <w:t>排</w:t>
            </w:r>
          </w:p>
          <w:p>
            <w:pPr>
              <w:adjustRightInd w:val="0"/>
              <w:snapToGrid w:val="0"/>
              <w:spacing w:line="360" w:lineRule="auto"/>
              <w:jc w:val="center"/>
              <w:rPr>
                <w:sz w:val="24"/>
              </w:rPr>
            </w:pPr>
            <w:r>
              <w:rPr>
                <w:sz w:val="24"/>
              </w:rPr>
              <w:t>放</w:t>
            </w:r>
          </w:p>
          <w:p>
            <w:pPr>
              <w:adjustRightInd w:val="0"/>
              <w:snapToGrid w:val="0"/>
              <w:spacing w:line="360" w:lineRule="auto"/>
              <w:jc w:val="center"/>
              <w:rPr>
                <w:sz w:val="24"/>
              </w:rPr>
            </w:pPr>
            <w:r>
              <w:rPr>
                <w:sz w:val="24"/>
              </w:rPr>
              <w:t>标</w:t>
            </w:r>
          </w:p>
          <w:p>
            <w:pPr>
              <w:adjustRightInd w:val="0"/>
              <w:snapToGrid w:val="0"/>
              <w:spacing w:line="360" w:lineRule="auto"/>
              <w:jc w:val="center"/>
              <w:rPr>
                <w:sz w:val="24"/>
              </w:rPr>
            </w:pPr>
            <w:r>
              <w:rPr>
                <w:sz w:val="24"/>
              </w:rPr>
              <w:t>准</w:t>
            </w:r>
          </w:p>
        </w:tc>
        <w:tc>
          <w:tcPr>
            <w:tcW w:w="8469" w:type="dxa"/>
            <w:vAlign w:val="center"/>
          </w:tcPr>
          <w:p>
            <w:pPr>
              <w:numPr>
                <w:ilvl w:val="0"/>
                <w:numId w:val="2"/>
              </w:numPr>
              <w:adjustRightInd w:val="0"/>
              <w:snapToGrid w:val="0"/>
              <w:spacing w:line="360" w:lineRule="auto"/>
              <w:rPr>
                <w:sz w:val="24"/>
              </w:rPr>
            </w:pPr>
            <w:r>
              <w:rPr>
                <w:rFonts w:hint="eastAsia"/>
                <w:sz w:val="24"/>
              </w:rPr>
              <w:t>废气：</w:t>
            </w:r>
          </w:p>
          <w:p>
            <w:pPr>
              <w:adjustRightInd w:val="0"/>
              <w:snapToGrid w:val="0"/>
              <w:spacing w:line="360" w:lineRule="auto"/>
              <w:ind w:left="360"/>
              <w:rPr>
                <w:sz w:val="24"/>
              </w:rPr>
            </w:pPr>
            <w:r>
              <w:rPr>
                <w:rFonts w:hint="eastAsia"/>
                <w:sz w:val="24"/>
              </w:rPr>
              <w:t>施工期厂界扬尘执行陕西省地方标准《施工场界扬尘排放限值》（DB61/1078-2017）；运营期颗粒物、二氧化硫与氮氧化物执行《锅炉大气污染物排放标准》（DB61/1226-2018）中燃气锅炉大气污染物排放浓度限值。</w:t>
            </w:r>
          </w:p>
          <w:p>
            <w:pPr>
              <w:pStyle w:val="2"/>
              <w:numPr>
                <w:ilvl w:val="0"/>
                <w:numId w:val="2"/>
              </w:numPr>
              <w:adjustRightInd w:val="0"/>
              <w:snapToGrid w:val="0"/>
              <w:spacing w:line="360" w:lineRule="auto"/>
              <w:ind w:leftChars="0" w:firstLineChars="0"/>
            </w:pPr>
            <w:r>
              <w:rPr>
                <w:rFonts w:hint="eastAsia"/>
              </w:rPr>
              <w:t>废水：</w:t>
            </w:r>
          </w:p>
          <w:p>
            <w:pPr>
              <w:pStyle w:val="2"/>
              <w:adjustRightInd w:val="0"/>
              <w:snapToGrid w:val="0"/>
              <w:spacing w:line="360" w:lineRule="auto"/>
              <w:ind w:left="360" w:leftChars="0" w:firstLine="0" w:firstLineChars="0"/>
            </w:pPr>
            <w:r>
              <w:rPr>
                <w:rFonts w:hint="eastAsia"/>
              </w:rPr>
              <w:t>本项目锅炉排水及软化水排水废水执行《污水综合排放标准》（GB8978-1996）三级标准，废水排入市政污水管网，本次不新建废水排污口。</w:t>
            </w:r>
          </w:p>
          <w:p>
            <w:pPr>
              <w:pStyle w:val="2"/>
              <w:numPr>
                <w:ilvl w:val="0"/>
                <w:numId w:val="2"/>
              </w:numPr>
              <w:adjustRightInd w:val="0"/>
              <w:snapToGrid w:val="0"/>
              <w:spacing w:line="360" w:lineRule="auto"/>
              <w:ind w:leftChars="0" w:firstLineChars="0"/>
            </w:pPr>
            <w:r>
              <w:rPr>
                <w:rFonts w:hint="eastAsia"/>
              </w:rPr>
              <w:t>噪声：</w:t>
            </w:r>
          </w:p>
          <w:p>
            <w:pPr>
              <w:pStyle w:val="2"/>
              <w:adjustRightInd w:val="0"/>
              <w:snapToGrid w:val="0"/>
              <w:spacing w:line="360" w:lineRule="auto"/>
              <w:ind w:left="360" w:leftChars="0" w:firstLine="0" w:firstLineChars="0"/>
            </w:pPr>
            <w:r>
              <w:rPr>
                <w:rFonts w:hint="eastAsia"/>
              </w:rPr>
              <w:t>施工期噪声执行《建筑施工场界环境噪声排放标准》(GB12523-2011)；运营期噪声执行《工业企业厂界环境噪声排放标准》（GB12348—2008）中的2类标准。</w:t>
            </w:r>
          </w:p>
          <w:p>
            <w:pPr>
              <w:numPr>
                <w:ilvl w:val="0"/>
                <w:numId w:val="2"/>
              </w:numPr>
              <w:adjustRightInd w:val="0"/>
              <w:snapToGrid w:val="0"/>
              <w:spacing w:line="360" w:lineRule="auto"/>
              <w:rPr>
                <w:sz w:val="24"/>
              </w:rPr>
            </w:pPr>
            <w:r>
              <w:rPr>
                <w:rFonts w:hint="eastAsia"/>
                <w:sz w:val="24"/>
              </w:rPr>
              <w:t>固废：</w:t>
            </w:r>
          </w:p>
          <w:p>
            <w:pPr>
              <w:pStyle w:val="2"/>
              <w:adjustRightInd w:val="0"/>
              <w:snapToGrid w:val="0"/>
              <w:spacing w:line="360" w:lineRule="auto"/>
              <w:ind w:left="360" w:leftChars="0" w:firstLine="0" w:firstLineChars="0"/>
            </w:pPr>
            <w:r>
              <w:rPr>
                <w:rFonts w:hint="eastAsia"/>
              </w:rPr>
              <w:t>一般工业固体废弃物执行GB18599-2001《一般工业固体废物贮存、处置场污染控制标准》及其修改单的有关规定； 危险废物执行《危险废物贮存污染控制标准》（G</w:t>
            </w:r>
            <w:r>
              <w:t>B18597-20</w:t>
            </w:r>
            <w:r>
              <w:rPr>
                <w:rFonts w:hint="eastAsia"/>
              </w:rPr>
              <w:t>0</w:t>
            </w:r>
            <w:r>
              <w:t>1</w:t>
            </w:r>
            <w:r>
              <w:rPr>
                <w:rFonts w:hint="eastAsia"/>
              </w:rPr>
              <w:t>）及其修改单中相关规定。</w:t>
            </w:r>
          </w:p>
          <w:p>
            <w:pPr>
              <w:adjustRightInd w:val="0"/>
              <w:snapToGrid w:val="0"/>
              <w:spacing w:line="360" w:lineRule="auto"/>
              <w:rPr>
                <w:sz w:val="24"/>
              </w:rPr>
            </w:pPr>
            <w:r>
              <w:rPr>
                <w:rFonts w:hint="eastAsia"/>
                <w:sz w:val="24"/>
              </w:rPr>
              <w:t>5、其他要素评价执行国家有关规定。</w:t>
            </w:r>
          </w:p>
          <w:p>
            <w:pPr>
              <w:pStyle w:val="2"/>
              <w:adjustRightInd w:val="0"/>
              <w:snapToGrid w:val="0"/>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7" w:hRule="atLeast"/>
        </w:trPr>
        <w:tc>
          <w:tcPr>
            <w:tcW w:w="817" w:type="dxa"/>
            <w:vAlign w:val="center"/>
          </w:tcPr>
          <w:p>
            <w:pPr>
              <w:spacing w:line="360" w:lineRule="auto"/>
              <w:jc w:val="center"/>
              <w:rPr>
                <w:sz w:val="24"/>
              </w:rPr>
            </w:pPr>
            <w:r>
              <w:rPr>
                <w:sz w:val="24"/>
              </w:rPr>
              <w:t>总</w:t>
            </w:r>
          </w:p>
          <w:p>
            <w:pPr>
              <w:spacing w:line="360" w:lineRule="auto"/>
              <w:jc w:val="center"/>
              <w:rPr>
                <w:sz w:val="24"/>
              </w:rPr>
            </w:pPr>
            <w:r>
              <w:rPr>
                <w:sz w:val="24"/>
              </w:rPr>
              <w:t>量</w:t>
            </w:r>
          </w:p>
          <w:p>
            <w:pPr>
              <w:spacing w:line="360" w:lineRule="auto"/>
              <w:jc w:val="center"/>
              <w:rPr>
                <w:sz w:val="24"/>
              </w:rPr>
            </w:pPr>
            <w:r>
              <w:rPr>
                <w:sz w:val="24"/>
              </w:rPr>
              <w:t>控</w:t>
            </w:r>
          </w:p>
          <w:p>
            <w:pPr>
              <w:spacing w:line="360" w:lineRule="auto"/>
              <w:jc w:val="center"/>
              <w:rPr>
                <w:sz w:val="24"/>
              </w:rPr>
            </w:pPr>
            <w:r>
              <w:rPr>
                <w:sz w:val="24"/>
              </w:rPr>
              <w:t>制</w:t>
            </w:r>
          </w:p>
          <w:p>
            <w:pPr>
              <w:spacing w:line="360" w:lineRule="auto"/>
              <w:jc w:val="center"/>
              <w:rPr>
                <w:sz w:val="24"/>
              </w:rPr>
            </w:pPr>
            <w:r>
              <w:rPr>
                <w:sz w:val="24"/>
              </w:rPr>
              <w:t>标</w:t>
            </w:r>
          </w:p>
          <w:p>
            <w:pPr>
              <w:spacing w:line="360" w:lineRule="auto"/>
              <w:jc w:val="center"/>
              <w:rPr>
                <w:sz w:val="24"/>
              </w:rPr>
            </w:pPr>
            <w:r>
              <w:rPr>
                <w:sz w:val="24"/>
              </w:rPr>
              <w:t>准</w:t>
            </w:r>
          </w:p>
        </w:tc>
        <w:tc>
          <w:tcPr>
            <w:tcW w:w="8469" w:type="dxa"/>
            <w:vAlign w:val="center"/>
          </w:tcPr>
          <w:p>
            <w:pPr>
              <w:spacing w:line="360" w:lineRule="auto"/>
              <w:ind w:firstLine="480" w:firstLineChars="200"/>
              <w:jc w:val="left"/>
              <w:rPr>
                <w:sz w:val="24"/>
              </w:rPr>
            </w:pPr>
          </w:p>
          <w:p>
            <w:pPr>
              <w:spacing w:line="360" w:lineRule="auto"/>
              <w:ind w:firstLine="480" w:firstLineChars="200"/>
              <w:jc w:val="left"/>
              <w:rPr>
                <w:sz w:val="24"/>
              </w:rPr>
            </w:pPr>
            <w:r>
              <w:rPr>
                <w:rFonts w:hint="eastAsia"/>
                <w:sz w:val="24"/>
              </w:rPr>
              <w:t>项目采用天然气作为燃料并配套有超低氮燃烧器，根据调查，项目原有燃煤锅炉没有申请总量控制指标，本次煤改气后，燃气锅炉污染物排放为烟尘0.0196</w:t>
            </w:r>
            <w:r>
              <w:rPr>
                <w:sz w:val="24"/>
              </w:rPr>
              <w:t>t/a</w:t>
            </w:r>
            <w:r>
              <w:rPr>
                <w:rFonts w:hint="eastAsia"/>
                <w:sz w:val="24"/>
              </w:rPr>
              <w:t>，SO</w:t>
            </w:r>
            <w:r>
              <w:rPr>
                <w:rFonts w:hint="eastAsia"/>
                <w:sz w:val="24"/>
                <w:vertAlign w:val="subscript"/>
              </w:rPr>
              <w:t>2</w:t>
            </w:r>
            <w:r>
              <w:rPr>
                <w:rFonts w:hint="eastAsia"/>
                <w:sz w:val="24"/>
              </w:rPr>
              <w:t>0.018t/a，NO</w:t>
            </w:r>
            <w:r>
              <w:rPr>
                <w:rFonts w:hint="eastAsia"/>
                <w:sz w:val="24"/>
                <w:vertAlign w:val="subscript"/>
              </w:rPr>
              <w:t>X</w:t>
            </w:r>
            <w:r>
              <w:rPr>
                <w:rFonts w:hint="eastAsia"/>
                <w:sz w:val="24"/>
              </w:rPr>
              <w:t>0.18t/a。因此本项目总量控制建议指标为：SO</w:t>
            </w:r>
            <w:r>
              <w:rPr>
                <w:rFonts w:hint="eastAsia"/>
                <w:sz w:val="24"/>
                <w:vertAlign w:val="subscript"/>
              </w:rPr>
              <w:t xml:space="preserve">2 </w:t>
            </w:r>
            <w:r>
              <w:rPr>
                <w:rFonts w:hint="eastAsia"/>
                <w:sz w:val="24"/>
              </w:rPr>
              <w:t>0.018t/a，NO</w:t>
            </w:r>
            <w:r>
              <w:rPr>
                <w:rFonts w:hint="eastAsia"/>
                <w:sz w:val="24"/>
                <w:vertAlign w:val="subscript"/>
              </w:rPr>
              <w:t xml:space="preserve">X </w:t>
            </w:r>
            <w:r>
              <w:rPr>
                <w:rFonts w:hint="eastAsia"/>
                <w:sz w:val="24"/>
              </w:rPr>
              <w:t>0.18t/a。</w:t>
            </w:r>
          </w:p>
          <w:p>
            <w:pPr>
              <w:spacing w:line="360" w:lineRule="auto"/>
              <w:ind w:firstLine="480" w:firstLineChars="200"/>
              <w:jc w:val="center"/>
              <w:rPr>
                <w:sz w:val="24"/>
              </w:rPr>
            </w:pPr>
          </w:p>
          <w:p>
            <w:pPr>
              <w:pStyle w:val="2"/>
            </w:pPr>
          </w:p>
          <w:p>
            <w:pPr>
              <w:pStyle w:val="2"/>
            </w:pPr>
          </w:p>
          <w:p>
            <w:pPr>
              <w:pStyle w:val="2"/>
            </w:pPr>
          </w:p>
        </w:tc>
      </w:tr>
    </w:tbl>
    <w:p>
      <w:pPr>
        <w:pStyle w:val="3"/>
        <w:spacing w:before="0" w:after="0" w:line="240" w:lineRule="auto"/>
        <w:rPr>
          <w:rFonts w:ascii="Times New Roman"/>
          <w:b w:val="0"/>
          <w:sz w:val="28"/>
          <w:szCs w:val="28"/>
        </w:rPr>
      </w:pPr>
      <w:bookmarkStart w:id="24" w:name="_Toc18687"/>
      <w:bookmarkStart w:id="25" w:name="_Toc5113211"/>
      <w:r>
        <w:rPr>
          <w:rFonts w:ascii="Times New Roman"/>
          <w:sz w:val="28"/>
          <w:szCs w:val="28"/>
        </w:rPr>
        <w:t>建设项目工程分析</w:t>
      </w:r>
      <w:bookmarkEnd w:id="24"/>
      <w:bookmarkEnd w:id="25"/>
    </w:p>
    <w:tbl>
      <w:tblPr>
        <w:tblStyle w:val="25"/>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1" w:hRule="atLeast"/>
        </w:trPr>
        <w:tc>
          <w:tcPr>
            <w:tcW w:w="9540" w:type="dxa"/>
          </w:tcPr>
          <w:p>
            <w:pPr>
              <w:adjustRightInd w:val="0"/>
              <w:snapToGrid w:val="0"/>
              <w:spacing w:line="360" w:lineRule="auto"/>
              <w:rPr>
                <w:b/>
                <w:bCs/>
                <w:sz w:val="24"/>
              </w:rPr>
            </w:pPr>
            <w:r>
              <w:rPr>
                <w:b/>
                <w:bCs/>
                <w:sz w:val="24"/>
              </w:rPr>
              <w:t>工艺流程简述（图示）</w:t>
            </w:r>
          </w:p>
          <w:p>
            <w:pPr>
              <w:adjustRightInd w:val="0"/>
              <w:snapToGrid w:val="0"/>
              <w:spacing w:line="360" w:lineRule="auto"/>
              <w:ind w:firstLine="482" w:firstLineChars="200"/>
              <w:rPr>
                <w:b/>
                <w:kern w:val="0"/>
                <w:sz w:val="24"/>
              </w:rPr>
            </w:pPr>
            <w:r>
              <w:rPr>
                <w:rFonts w:hint="eastAsia"/>
                <w:b/>
                <w:kern w:val="0"/>
                <w:sz w:val="24"/>
              </w:rPr>
              <w:t>一、施工期工程分析</w:t>
            </w:r>
          </w:p>
          <w:p>
            <w:pPr>
              <w:adjustRightInd w:val="0"/>
              <w:snapToGrid w:val="0"/>
              <w:spacing w:line="360" w:lineRule="auto"/>
              <w:ind w:firstLine="480" w:firstLineChars="200"/>
              <w:rPr>
                <w:sz w:val="24"/>
              </w:rPr>
            </w:pPr>
            <w:r>
              <w:rPr>
                <w:rFonts w:hint="eastAsia"/>
                <w:kern w:val="0"/>
                <w:sz w:val="24"/>
              </w:rPr>
              <w:t>本项目利用原锅炉房场地，拆除原有燃煤锅炉</w:t>
            </w:r>
            <w:r>
              <w:rPr>
                <w:rFonts w:hint="eastAsia"/>
                <w:sz w:val="24"/>
              </w:rPr>
              <w:t>（10t/h），在原有燃煤锅炉东侧新增1台型号为WNS4-1.25-Y(Q)的燃气锅炉</w:t>
            </w:r>
            <w:r>
              <w:rPr>
                <w:sz w:val="24"/>
              </w:rPr>
              <w:t>(4t/h)</w:t>
            </w:r>
            <w:r>
              <w:rPr>
                <w:rFonts w:hint="eastAsia"/>
                <w:sz w:val="24"/>
              </w:rPr>
              <w:t>。施工期无大规模土建工程，主要污染物包括施工扬尘、噪声、固体废弃物、建筑垃圾、施工废水与生活废水等，具体流程及产污环节见图2。</w:t>
            </w:r>
          </w:p>
          <w:p>
            <w:pPr>
              <w:pStyle w:val="2"/>
              <w:adjustRightInd w:val="0"/>
              <w:snapToGrid w:val="0"/>
              <w:spacing w:line="240" w:lineRule="auto"/>
              <w:jc w:val="center"/>
            </w:pPr>
            <w:r>
              <w:drawing>
                <wp:inline distT="0" distB="0" distL="0" distR="0">
                  <wp:extent cx="4101465" cy="165417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t="3983" b="5763"/>
                          <a:stretch>
                            <a:fillRect/>
                          </a:stretch>
                        </pic:blipFill>
                        <pic:spPr>
                          <a:xfrm>
                            <a:off x="0" y="0"/>
                            <a:ext cx="4101465" cy="1654175"/>
                          </a:xfrm>
                          <a:prstGeom prst="rect">
                            <a:avLst/>
                          </a:prstGeom>
                          <a:noFill/>
                          <a:ln>
                            <a:noFill/>
                          </a:ln>
                        </pic:spPr>
                      </pic:pic>
                    </a:graphicData>
                  </a:graphic>
                </wp:inline>
              </w:drawing>
            </w:r>
          </w:p>
          <w:p>
            <w:pPr>
              <w:pStyle w:val="2"/>
              <w:adjustRightInd w:val="0"/>
              <w:snapToGrid w:val="0"/>
              <w:spacing w:line="360" w:lineRule="auto"/>
              <w:ind w:left="0" w:leftChars="0" w:firstLine="480" w:firstLineChars="200"/>
              <w:jc w:val="center"/>
              <w:rPr>
                <w:rFonts w:eastAsia="黑体" w:cs="宋体"/>
                <w:bCs/>
              </w:rPr>
            </w:pPr>
            <w:r>
              <w:rPr>
                <w:rFonts w:hint="eastAsia" w:eastAsia="黑体" w:cs="宋体"/>
                <w:bCs/>
              </w:rPr>
              <w:t>图2 本项目施工期工艺流程及产污环节图</w:t>
            </w:r>
          </w:p>
          <w:p>
            <w:pPr>
              <w:pStyle w:val="2"/>
              <w:adjustRightInd w:val="0"/>
              <w:snapToGrid w:val="0"/>
              <w:spacing w:line="360" w:lineRule="auto"/>
              <w:ind w:left="0" w:leftChars="0" w:firstLine="480" w:firstLineChars="200"/>
              <w:jc w:val="center"/>
              <w:rPr>
                <w:rFonts w:eastAsia="黑体" w:cs="宋体"/>
                <w:bCs/>
              </w:rPr>
            </w:pPr>
          </w:p>
          <w:p>
            <w:pPr>
              <w:adjustRightInd w:val="0"/>
              <w:snapToGrid w:val="0"/>
              <w:spacing w:line="360" w:lineRule="auto"/>
              <w:ind w:firstLine="482" w:firstLineChars="200"/>
              <w:rPr>
                <w:b/>
                <w:kern w:val="0"/>
                <w:sz w:val="24"/>
              </w:rPr>
            </w:pPr>
            <w:r>
              <w:rPr>
                <w:rFonts w:hint="eastAsia"/>
                <w:b/>
                <w:kern w:val="0"/>
                <w:sz w:val="24"/>
              </w:rPr>
              <w:t>二、运行期工程分析</w:t>
            </w:r>
          </w:p>
          <w:p>
            <w:pPr>
              <w:pStyle w:val="2"/>
              <w:adjustRightInd w:val="0"/>
              <w:snapToGrid w:val="0"/>
              <w:spacing w:line="360" w:lineRule="auto"/>
              <w:ind w:left="0" w:leftChars="0"/>
            </w:pPr>
            <w:r>
              <w:rPr>
                <w:rFonts w:hint="eastAsia"/>
              </w:rPr>
              <w:t>运行期对环境的影响主要表现为：锅炉运行过程中产生的燃烧废气、软化废水、设备噪声等，本项目运行期工艺流程及产污环节分析见图3。</w:t>
            </w:r>
          </w:p>
          <w:p>
            <w:pPr>
              <w:pStyle w:val="2"/>
              <w:adjustRightInd w:val="0"/>
              <w:snapToGrid w:val="0"/>
              <w:spacing w:line="360" w:lineRule="auto"/>
              <w:ind w:left="0" w:leftChars="0"/>
            </w:pPr>
            <w:r>
              <w:drawing>
                <wp:inline distT="0" distB="0" distL="0" distR="0">
                  <wp:extent cx="4810760" cy="2136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4838787" cy="2149534"/>
                          </a:xfrm>
                          <a:prstGeom prst="rect">
                            <a:avLst/>
                          </a:prstGeom>
                        </pic:spPr>
                      </pic:pic>
                    </a:graphicData>
                  </a:graphic>
                </wp:inline>
              </w:drawing>
            </w:r>
          </w:p>
          <w:p>
            <w:pPr>
              <w:pStyle w:val="2"/>
              <w:adjustRightInd w:val="0"/>
              <w:snapToGrid w:val="0"/>
              <w:spacing w:line="360" w:lineRule="auto"/>
              <w:ind w:left="0" w:leftChars="0" w:firstLine="480" w:firstLineChars="200"/>
              <w:jc w:val="center"/>
              <w:rPr>
                <w:rFonts w:eastAsia="黑体" w:cs="宋体"/>
                <w:bCs/>
              </w:rPr>
            </w:pPr>
            <w:r>
              <w:rPr>
                <w:rFonts w:hint="eastAsia" w:eastAsia="黑体" w:cs="宋体"/>
                <w:bCs/>
              </w:rPr>
              <w:t>图3 本项目运行期工艺流程及产污环节图</w:t>
            </w:r>
          </w:p>
          <w:p>
            <w:pPr>
              <w:pStyle w:val="2"/>
              <w:adjustRightInd w:val="0"/>
              <w:snapToGrid w:val="0"/>
              <w:spacing w:line="360" w:lineRule="auto"/>
              <w:ind w:left="0" w:leftChars="0" w:firstLine="480" w:firstLineChars="200"/>
            </w:pPr>
            <w:r>
              <w:rPr>
                <w:rFonts w:hint="eastAsia"/>
              </w:rPr>
              <w:t>主要工艺单元：</w:t>
            </w:r>
          </w:p>
          <w:p>
            <w:pPr>
              <w:pStyle w:val="2"/>
              <w:adjustRightInd w:val="0"/>
              <w:snapToGrid w:val="0"/>
              <w:spacing w:line="360" w:lineRule="auto"/>
              <w:ind w:left="0" w:leftChars="0" w:firstLine="480" w:firstLineChars="200"/>
            </w:pPr>
            <w:r>
              <w:rPr>
                <w:rFonts w:hint="eastAsia"/>
              </w:rPr>
              <w:t>（1）低氮燃烧系统：本项目采用烟气再循环技术，将锅炉尾部约10%~30%的烟气（温度约170℃），经不锈钢烟气管道吸入到燃烧机进风口，混入助燃空气后进入炉膛。从而降低燃烧区域的温度，同时降低燃烧区域氧的浓度，最终降低热力型NOx的生成量，达到烟气中的氮氧化物排放浓度低于30mg/m</w:t>
            </w:r>
            <w:r>
              <w:rPr>
                <w:rFonts w:hint="eastAsia"/>
                <w:vertAlign w:val="superscript"/>
              </w:rPr>
              <w:t>3</w:t>
            </w:r>
            <w:r>
              <w:rPr>
                <w:rFonts w:hint="eastAsia"/>
              </w:rPr>
              <w:t>。</w:t>
            </w:r>
          </w:p>
          <w:p>
            <w:pPr>
              <w:pStyle w:val="2"/>
              <w:adjustRightInd w:val="0"/>
              <w:snapToGrid w:val="0"/>
              <w:spacing w:line="360" w:lineRule="auto"/>
              <w:ind w:left="0" w:leftChars="0" w:firstLine="480" w:firstLineChars="200"/>
            </w:pPr>
            <w:r>
              <w:rPr>
                <w:rFonts w:hint="eastAsia"/>
              </w:rPr>
              <w:t>（2）软化水装置：自来水首先经过软水制备装置进行软化处理，去除水中的杂质（主要是钙、镁等），以免水中的钙、镁在高温下形成水垢附着在锅炉内壁上，降低锅炉热效率、浪费燃料、使锅炉出力不足、甚至引起事故等。当树脂吸收一定量的钙镁离子后，就必须进行再生，树脂再生过程中软化水装置会产生软化废水。</w:t>
            </w:r>
          </w:p>
          <w:p>
            <w:pPr>
              <w:pStyle w:val="2"/>
              <w:adjustRightInd w:val="0"/>
              <w:snapToGrid w:val="0"/>
              <w:spacing w:line="360" w:lineRule="auto"/>
              <w:ind w:left="0" w:leftChars="0" w:firstLine="480" w:firstLineChars="200"/>
            </w:pPr>
            <w:r>
              <w:rPr>
                <w:rFonts w:hint="eastAsia"/>
              </w:rPr>
              <w:t>（3）换热管网：自来水经过软化装置处理后进入锅炉主体，经锅炉加热汽化后通过换热装置将高温蒸汽交换为高温热水，用于酒店热水供应。</w:t>
            </w:r>
          </w:p>
          <w:p>
            <w:pPr>
              <w:pStyle w:val="2"/>
              <w:adjustRightInd w:val="0"/>
              <w:snapToGrid w:val="0"/>
              <w:spacing w:line="360" w:lineRule="auto"/>
              <w:ind w:left="0" w:leftChars="0" w:firstLine="480" w:firstLineChars="200"/>
            </w:pPr>
            <w:r>
              <w:rPr>
                <w:rFonts w:hint="eastAsia"/>
              </w:rPr>
              <w:t>（4）排烟系统：本项目产生的燃烧烟气通过烟囱排放，烟囱高度12m，内径380</w:t>
            </w:r>
            <w:r>
              <w:t>m</w:t>
            </w:r>
            <w:r>
              <w:rPr>
                <w:rFonts w:hint="eastAsia"/>
              </w:rPr>
              <w:t>m。</w:t>
            </w:r>
            <w:r>
              <w:t xml:space="preserve"> </w:t>
            </w:r>
          </w:p>
          <w:p>
            <w:pPr>
              <w:tabs>
                <w:tab w:val="left" w:pos="540"/>
              </w:tabs>
              <w:adjustRightInd w:val="0"/>
              <w:snapToGrid w:val="0"/>
              <w:spacing w:line="360" w:lineRule="auto"/>
              <w:rPr>
                <w:rFonts w:ascii="黑体" w:hAnsi="黑体" w:eastAsia="黑体"/>
                <w:b/>
                <w:sz w:val="28"/>
                <w:szCs w:val="28"/>
              </w:rPr>
            </w:pPr>
            <w:r>
              <w:rPr>
                <w:rFonts w:hint="eastAsia" w:ascii="黑体" w:hAnsi="黑体" w:eastAsia="黑体"/>
                <w:b/>
                <w:sz w:val="28"/>
                <w:szCs w:val="28"/>
              </w:rPr>
              <w:t>主要污染工序</w:t>
            </w:r>
          </w:p>
          <w:p>
            <w:pPr>
              <w:adjustRightInd w:val="0"/>
              <w:snapToGrid w:val="0"/>
              <w:spacing w:line="360" w:lineRule="auto"/>
              <w:ind w:firstLine="482" w:firstLineChars="200"/>
              <w:rPr>
                <w:b/>
                <w:sz w:val="24"/>
                <w:szCs w:val="20"/>
              </w:rPr>
            </w:pPr>
            <w:r>
              <w:rPr>
                <w:b/>
                <w:sz w:val="24"/>
                <w:szCs w:val="20"/>
              </w:rPr>
              <w:t>一、施工期：</w:t>
            </w:r>
          </w:p>
          <w:p>
            <w:pPr>
              <w:pStyle w:val="2"/>
              <w:adjustRightInd w:val="0"/>
              <w:snapToGrid w:val="0"/>
              <w:spacing w:line="360" w:lineRule="auto"/>
              <w:ind w:left="0" w:leftChars="0" w:firstLine="480" w:firstLineChars="200"/>
            </w:pPr>
            <w:r>
              <w:rPr>
                <w:rFonts w:hint="eastAsia"/>
              </w:rPr>
              <w:t>本项目利用原锅炉房场地进行技改，并且燃气锅炉已安装完成。施工期主要内容包括燃煤锅炉的拆除、煤渣与炉渣的清理，产生的污染物包括施工噪声、施工人员生活废水、施工扬尘和建筑垃圾等。</w:t>
            </w:r>
          </w:p>
          <w:p>
            <w:pPr>
              <w:pStyle w:val="2"/>
              <w:adjustRightInd w:val="0"/>
              <w:snapToGrid w:val="0"/>
              <w:spacing w:line="360" w:lineRule="auto"/>
              <w:ind w:left="0" w:leftChars="0" w:firstLine="480" w:firstLineChars="200"/>
            </w:pPr>
            <w:r>
              <w:rPr>
                <w:rFonts w:hint="eastAsia"/>
              </w:rPr>
              <w:t>（1）废气</w:t>
            </w:r>
          </w:p>
          <w:p>
            <w:pPr>
              <w:pStyle w:val="2"/>
              <w:adjustRightInd w:val="0"/>
              <w:snapToGrid w:val="0"/>
              <w:spacing w:line="360" w:lineRule="auto"/>
              <w:ind w:left="0" w:leftChars="0" w:firstLine="480" w:firstLineChars="200"/>
            </w:pPr>
            <w:r>
              <w:rPr>
                <w:rFonts w:hint="eastAsia"/>
              </w:rPr>
              <w:t>施工期废气主要是现有燃煤锅炉拆除、运输车辆行驶等产生的扬尘，以及运输车辆尾气等。</w:t>
            </w:r>
          </w:p>
          <w:p>
            <w:pPr>
              <w:pStyle w:val="2"/>
              <w:adjustRightInd w:val="0"/>
              <w:snapToGrid w:val="0"/>
              <w:spacing w:line="360" w:lineRule="auto"/>
              <w:ind w:left="0" w:leftChars="0" w:firstLine="480" w:firstLineChars="200"/>
            </w:pPr>
            <w:r>
              <w:rPr>
                <w:rFonts w:hint="eastAsia"/>
              </w:rPr>
              <w:t>（2）废水</w:t>
            </w:r>
          </w:p>
          <w:p>
            <w:pPr>
              <w:pStyle w:val="2"/>
              <w:adjustRightInd w:val="0"/>
              <w:snapToGrid w:val="0"/>
              <w:spacing w:line="360" w:lineRule="auto"/>
              <w:ind w:left="0" w:leftChars="0" w:firstLine="480" w:firstLineChars="200"/>
            </w:pPr>
            <w:r>
              <w:rPr>
                <w:rFonts w:hint="eastAsia"/>
              </w:rPr>
              <w:t>施工期废水主要包括施工作业产生的施工废水以及施工人员产生的生活废水等。由于本项目不新建厂房，不进行土方施工，施工期主要是燃煤锅炉的拆除，施工废水产生量很少。施工人员生活废水主要污染物是COD、SS、BOD5、氨氮等，本项目施工期工程量比较小，施工人员生活废水产生量很少。</w:t>
            </w:r>
          </w:p>
          <w:p>
            <w:pPr>
              <w:pStyle w:val="2"/>
              <w:adjustRightInd w:val="0"/>
              <w:snapToGrid w:val="0"/>
              <w:spacing w:line="360" w:lineRule="auto"/>
              <w:ind w:left="0" w:leftChars="0" w:firstLine="480" w:firstLineChars="200"/>
            </w:pPr>
            <w:r>
              <w:rPr>
                <w:rFonts w:hint="eastAsia"/>
              </w:rPr>
              <w:t>（3）噪声</w:t>
            </w:r>
          </w:p>
          <w:p>
            <w:pPr>
              <w:pStyle w:val="2"/>
              <w:adjustRightInd w:val="0"/>
              <w:snapToGrid w:val="0"/>
              <w:spacing w:line="360" w:lineRule="auto"/>
              <w:ind w:left="0" w:leftChars="0" w:firstLine="480" w:firstLineChars="200"/>
            </w:pPr>
            <w:r>
              <w:rPr>
                <w:rFonts w:hint="eastAsia"/>
              </w:rPr>
              <w:t>施工期噪声源主要是施工机械设备噪声和运输车辆交通噪声。</w:t>
            </w:r>
          </w:p>
          <w:p>
            <w:pPr>
              <w:pStyle w:val="2"/>
              <w:adjustRightInd w:val="0"/>
              <w:snapToGrid w:val="0"/>
              <w:spacing w:line="360" w:lineRule="auto"/>
              <w:ind w:left="0" w:leftChars="0" w:firstLine="480" w:firstLineChars="200"/>
            </w:pPr>
            <w:r>
              <w:rPr>
                <w:rFonts w:hint="eastAsia"/>
              </w:rPr>
              <w:t>（4）固体废物</w:t>
            </w:r>
          </w:p>
          <w:p>
            <w:pPr>
              <w:pStyle w:val="2"/>
              <w:adjustRightInd w:val="0"/>
              <w:snapToGrid w:val="0"/>
              <w:spacing w:line="360" w:lineRule="auto"/>
              <w:ind w:left="0" w:leftChars="0" w:firstLine="480" w:firstLineChars="200"/>
            </w:pPr>
            <w:r>
              <w:rPr>
                <w:rFonts w:hint="eastAsia"/>
              </w:rPr>
              <w:t>施工期固体废物主要是现有燃煤锅炉设备拆除产生的废旧设备、施工人员生活垃圾，以及少量建筑垃圾等。</w:t>
            </w:r>
          </w:p>
          <w:p>
            <w:pPr>
              <w:adjustRightInd w:val="0"/>
              <w:snapToGrid w:val="0"/>
              <w:spacing w:line="360" w:lineRule="auto"/>
              <w:ind w:firstLine="482" w:firstLineChars="200"/>
              <w:rPr>
                <w:sz w:val="24"/>
                <w:szCs w:val="20"/>
              </w:rPr>
            </w:pPr>
            <w:r>
              <w:rPr>
                <w:rFonts w:hint="eastAsia"/>
                <w:b/>
                <w:sz w:val="24"/>
                <w:szCs w:val="20"/>
              </w:rPr>
              <w:t>二、</w:t>
            </w:r>
            <w:r>
              <w:rPr>
                <w:b/>
                <w:sz w:val="24"/>
                <w:szCs w:val="20"/>
              </w:rPr>
              <w:t>运行期：</w:t>
            </w:r>
          </w:p>
          <w:p>
            <w:pPr>
              <w:pStyle w:val="2"/>
              <w:adjustRightInd w:val="0"/>
              <w:snapToGrid w:val="0"/>
              <w:spacing w:line="360" w:lineRule="auto"/>
              <w:ind w:left="0" w:leftChars="0" w:firstLine="480" w:firstLineChars="200"/>
              <w:jc w:val="left"/>
            </w:pPr>
            <w:r>
              <w:rPr>
                <w:rFonts w:hint="eastAsia"/>
              </w:rPr>
              <w:t>（1）废气</w:t>
            </w:r>
          </w:p>
          <w:p>
            <w:pPr>
              <w:pStyle w:val="2"/>
              <w:adjustRightInd w:val="0"/>
              <w:snapToGrid w:val="0"/>
              <w:spacing w:line="360" w:lineRule="auto"/>
              <w:ind w:left="0" w:leftChars="0" w:firstLine="480" w:firstLineChars="200"/>
              <w:jc w:val="left"/>
            </w:pPr>
            <w:r>
              <w:rPr>
                <w:rFonts w:hint="eastAsia"/>
              </w:rPr>
              <w:t>运行期产生的废气主要为锅炉燃烧废气，本项目新安装1台4t/h的燃气锅炉，燃料为天然气，锅炉每天运行6小时，全年工作270天，天然气消耗量为</w:t>
            </w:r>
            <w:r>
              <w:t>4</w:t>
            </w:r>
            <w:r>
              <w:rPr>
                <w:rFonts w:hint="eastAsia"/>
              </w:rPr>
              <w:t>5</w:t>
            </w:r>
            <w:r>
              <w:rPr>
                <w:kern w:val="0"/>
              </w:rPr>
              <w:t>万m</w:t>
            </w:r>
            <w:r>
              <w:rPr>
                <w:kern w:val="0"/>
                <w:vertAlign w:val="superscript"/>
              </w:rPr>
              <w:t>3</w:t>
            </w:r>
            <w:r>
              <w:rPr>
                <w:kern w:val="0"/>
              </w:rPr>
              <w:t>/</w:t>
            </w:r>
            <w:r>
              <w:rPr>
                <w:rFonts w:hint="eastAsia"/>
                <w:kern w:val="0"/>
              </w:rPr>
              <w:t>a。</w:t>
            </w:r>
          </w:p>
          <w:p>
            <w:pPr>
              <w:pStyle w:val="2"/>
              <w:adjustRightInd w:val="0"/>
              <w:snapToGrid w:val="0"/>
              <w:spacing w:line="360" w:lineRule="auto"/>
              <w:ind w:left="0" w:leftChars="0" w:firstLine="480" w:firstLineChars="200"/>
              <w:jc w:val="left"/>
            </w:pPr>
            <w:r>
              <w:rPr>
                <w:rFonts w:hint="eastAsia"/>
              </w:rPr>
              <w:t>参考《第一次全国污染源普查工业污染源产排污系数手册》（2010修订）“4430工业锅炉（热力生产和供应行业）产排污系数表-燃气工业锅炉-天然气”，锅炉燃烧废气量排放系数为136259.17Nm</w:t>
            </w:r>
            <w:r>
              <w:rPr>
                <w:rFonts w:hint="eastAsia"/>
                <w:vertAlign w:val="superscript"/>
              </w:rPr>
              <w:t>3</w:t>
            </w:r>
            <w:r>
              <w:rPr>
                <w:rFonts w:hint="eastAsia"/>
              </w:rPr>
              <w:t>/万m</w:t>
            </w:r>
            <w:r>
              <w:rPr>
                <w:rFonts w:hint="eastAsia"/>
                <w:vertAlign w:val="superscript"/>
              </w:rPr>
              <w:t>3</w:t>
            </w:r>
            <w:r>
              <w:rPr>
                <w:rFonts w:hint="eastAsia"/>
              </w:rPr>
              <w:t>-原料，SO</w:t>
            </w:r>
            <w:r>
              <w:rPr>
                <w:rFonts w:hint="eastAsia"/>
                <w:vertAlign w:val="subscript"/>
              </w:rPr>
              <w:t>2</w:t>
            </w:r>
            <w:r>
              <w:rPr>
                <w:rFonts w:hint="eastAsia"/>
              </w:rPr>
              <w:t>排放量为0.02Skg/万m</w:t>
            </w:r>
            <w:r>
              <w:rPr>
                <w:rFonts w:hint="eastAsia"/>
                <w:vertAlign w:val="superscript"/>
              </w:rPr>
              <w:t>3</w:t>
            </w:r>
            <w:r>
              <w:rPr>
                <w:rFonts w:hint="eastAsia"/>
              </w:rPr>
              <w:t>-原料（S是指燃气收到基硫分含量，单位为mg/m</w:t>
            </w:r>
            <w:r>
              <w:rPr>
                <w:rFonts w:hint="eastAsia"/>
                <w:vertAlign w:val="superscript"/>
              </w:rPr>
              <w:t>3</w:t>
            </w:r>
            <w:r>
              <w:rPr>
                <w:rFonts w:hint="eastAsia"/>
              </w:rPr>
              <w:t>）。根据《污染源源强核算技术指南 锅炉》（HJ991-2018）产物系数法，本项目天然气用量为45万m</w:t>
            </w:r>
            <w:r>
              <w:rPr>
                <w:rFonts w:hint="eastAsia"/>
                <w:vertAlign w:val="superscript"/>
              </w:rPr>
              <w:t>3</w:t>
            </w:r>
            <w:r>
              <w:rPr>
                <w:rFonts w:hint="eastAsia"/>
              </w:rPr>
              <w:t>/a，据计算各污染物排放量为：废气量613.17万Nm</w:t>
            </w:r>
            <w:r>
              <w:rPr>
                <w:rFonts w:hint="eastAsia"/>
                <w:vertAlign w:val="superscript"/>
              </w:rPr>
              <w:t>3</w:t>
            </w:r>
            <w:r>
              <w:rPr>
                <w:rFonts w:hint="eastAsia"/>
              </w:rPr>
              <w:t>/a，S</w:t>
            </w:r>
            <w:r>
              <w:t>O</w:t>
            </w:r>
            <w:r>
              <w:rPr>
                <w:vertAlign w:val="subscript"/>
              </w:rPr>
              <w:t>2</w:t>
            </w:r>
            <w:r>
              <w:rPr>
                <w:rFonts w:hint="eastAsia"/>
              </w:rPr>
              <w:t>排放量0.018</w:t>
            </w:r>
            <w:r>
              <w:t>t/a</w:t>
            </w:r>
            <w:r>
              <w:rPr>
                <w:rFonts w:hint="eastAsia"/>
              </w:rPr>
              <w:t>，排放浓度为2.94</w:t>
            </w:r>
            <w:r>
              <w:t xml:space="preserve"> mg/m</w:t>
            </w:r>
            <w:r>
              <w:rPr>
                <w:vertAlign w:val="superscript"/>
              </w:rPr>
              <w:t>3</w:t>
            </w:r>
            <w:r>
              <w:rPr>
                <w:rFonts w:hint="eastAsia"/>
              </w:rPr>
              <w:t>。</w:t>
            </w:r>
          </w:p>
          <w:p>
            <w:pPr>
              <w:pStyle w:val="2"/>
              <w:adjustRightInd w:val="0"/>
              <w:snapToGrid w:val="0"/>
              <w:spacing w:line="360" w:lineRule="auto"/>
              <w:ind w:left="0" w:leftChars="0" w:firstLine="432" w:firstLineChars="180"/>
            </w:pPr>
            <w:r>
              <w:rPr>
                <w:rFonts w:hint="eastAsia"/>
              </w:rPr>
              <w:t>本项目烟尘排放浓度类比《咸阳市北区集中供热有限公司 2×35t/h 燃煤锅炉煤改气建设项目验收监测报告》中的监测数据，根据2018年陕西中测检测科技有限公司对厂区内2台45t/h燃气锅炉的竣工监测结果，天然气锅炉燃烧烟气中烟尘排放浓度为1.7-3.2</w:t>
            </w:r>
            <w:r>
              <w:t xml:space="preserve"> </w:t>
            </w:r>
            <w:r>
              <w:rPr>
                <w:rFonts w:hint="eastAsia"/>
              </w:rPr>
              <w:t>mg/m</w:t>
            </w:r>
            <w:r>
              <w:rPr>
                <w:rFonts w:hint="eastAsia"/>
                <w:vertAlign w:val="superscript"/>
              </w:rPr>
              <w:t>3</w:t>
            </w:r>
            <w:r>
              <w:rPr>
                <w:rFonts w:hint="eastAsia"/>
              </w:rPr>
              <w:t>，本评价取最大值3.2 mg/m</w:t>
            </w:r>
            <w:r>
              <w:rPr>
                <w:rFonts w:hint="eastAsia"/>
                <w:vertAlign w:val="superscript"/>
              </w:rPr>
              <w:t>3</w:t>
            </w:r>
            <w:r>
              <w:rPr>
                <w:rFonts w:hint="eastAsia"/>
              </w:rPr>
              <w:t>，则本项目锅炉燃烧烟气中烟尘排放量为0.0196t/a。</w:t>
            </w:r>
          </w:p>
          <w:p>
            <w:pPr>
              <w:pStyle w:val="2"/>
              <w:adjustRightInd w:val="0"/>
              <w:snapToGrid w:val="0"/>
              <w:spacing w:line="360" w:lineRule="auto"/>
              <w:ind w:left="0" w:leftChars="0" w:firstLine="432" w:firstLineChars="180"/>
            </w:pPr>
            <w:r>
              <w:rPr>
                <w:rFonts w:hint="eastAsia"/>
              </w:rPr>
              <w:t>本项目锅炉配套超低氮燃烧器，并采用烟气循环技术。根据低氮燃烧器生产厂家(上海华之邦科技有限公司)提供的资料，NO</w:t>
            </w:r>
            <w:r>
              <w:rPr>
                <w:rFonts w:hint="eastAsia"/>
                <w:vertAlign w:val="subscript"/>
              </w:rPr>
              <w:t>X</w:t>
            </w:r>
            <w:r>
              <w:rPr>
                <w:rFonts w:hint="eastAsia"/>
              </w:rPr>
              <w:t>排放浓度小于30mg/m</w:t>
            </w:r>
            <w:r>
              <w:rPr>
                <w:rFonts w:hint="eastAsia"/>
                <w:vertAlign w:val="superscript"/>
              </w:rPr>
              <w:t>3</w:t>
            </w:r>
            <w:r>
              <w:rPr>
                <w:rFonts w:hint="eastAsia"/>
              </w:rPr>
              <w:t>。本评价取最大值30mg/m</w:t>
            </w:r>
            <w:r>
              <w:rPr>
                <w:rFonts w:hint="eastAsia"/>
                <w:vertAlign w:val="superscript"/>
              </w:rPr>
              <w:t>3</w:t>
            </w:r>
            <w:r>
              <w:rPr>
                <w:rFonts w:hint="eastAsia"/>
              </w:rPr>
              <w:t>，则本项目NO</w:t>
            </w:r>
            <w:r>
              <w:rPr>
                <w:rFonts w:hint="eastAsia"/>
                <w:vertAlign w:val="subscript"/>
              </w:rPr>
              <w:t>X</w:t>
            </w:r>
            <w:r>
              <w:rPr>
                <w:rFonts w:hint="eastAsia"/>
              </w:rPr>
              <w:t>排放量为0.18t/a。</w:t>
            </w:r>
          </w:p>
          <w:p>
            <w:pPr>
              <w:pStyle w:val="2"/>
              <w:adjustRightInd w:val="0"/>
              <w:snapToGrid w:val="0"/>
              <w:spacing w:line="360" w:lineRule="auto"/>
              <w:ind w:left="0" w:leftChars="0" w:firstLine="432" w:firstLineChars="180"/>
              <w:jc w:val="left"/>
            </w:pPr>
            <w:r>
              <w:rPr>
                <w:rFonts w:hint="eastAsia"/>
              </w:rPr>
              <w:t>本项目锅炉燃烧废气污染物排放情况见表11。</w:t>
            </w:r>
          </w:p>
          <w:p>
            <w:pPr>
              <w:pStyle w:val="2"/>
              <w:adjustRightInd w:val="0"/>
              <w:snapToGrid w:val="0"/>
              <w:spacing w:line="360" w:lineRule="auto"/>
              <w:ind w:left="0" w:leftChars="0" w:firstLine="432" w:firstLineChars="180"/>
              <w:jc w:val="center"/>
              <w:rPr>
                <w:rFonts w:eastAsia="黑体"/>
              </w:rPr>
            </w:pPr>
            <w:r>
              <w:rPr>
                <w:rFonts w:hint="eastAsia" w:eastAsia="黑体"/>
              </w:rPr>
              <w:t>表11 本项目锅炉燃烧烟气污染物排放情况表</w:t>
            </w:r>
          </w:p>
          <w:tbl>
            <w:tblPr>
              <w:tblStyle w:val="25"/>
              <w:tblW w:w="855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230"/>
              <w:gridCol w:w="1017"/>
              <w:gridCol w:w="921"/>
              <w:gridCol w:w="1110"/>
              <w:gridCol w:w="1239"/>
              <w:gridCol w:w="15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1508" w:type="dxa"/>
                  <w:vAlign w:val="center"/>
                </w:tcPr>
                <w:p>
                  <w:pPr>
                    <w:pStyle w:val="2"/>
                    <w:adjustRightInd w:val="0"/>
                    <w:snapToGrid w:val="0"/>
                    <w:spacing w:line="240" w:lineRule="auto"/>
                    <w:ind w:left="0" w:leftChars="0" w:firstLine="0" w:firstLineChars="0"/>
                    <w:jc w:val="center"/>
                    <w:rPr>
                      <w:sz w:val="21"/>
                      <w:szCs w:val="21"/>
                    </w:rPr>
                  </w:pPr>
                  <w:bookmarkStart w:id="26" w:name="_Hlk5102023"/>
                  <w:r>
                    <w:rPr>
                      <w:rFonts w:hint="eastAsia"/>
                      <w:sz w:val="21"/>
                      <w:szCs w:val="21"/>
                    </w:rPr>
                    <w:t>天然气消耗量（</w:t>
                  </w:r>
                  <w:r>
                    <w:rPr>
                      <w:sz w:val="21"/>
                      <w:szCs w:val="21"/>
                    </w:rPr>
                    <w:t>m</w:t>
                  </w:r>
                  <w:r>
                    <w:rPr>
                      <w:sz w:val="21"/>
                      <w:szCs w:val="21"/>
                      <w:vertAlign w:val="superscript"/>
                    </w:rPr>
                    <w:t>3</w:t>
                  </w:r>
                  <w:r>
                    <w:rPr>
                      <w:sz w:val="21"/>
                      <w:szCs w:val="21"/>
                    </w:rPr>
                    <w:t>/a</w:t>
                  </w:r>
                  <w:r>
                    <w:rPr>
                      <w:rFonts w:hint="eastAsia"/>
                      <w:sz w:val="21"/>
                      <w:szCs w:val="21"/>
                    </w:rPr>
                    <w:t>）</w:t>
                  </w:r>
                </w:p>
              </w:tc>
              <w:tc>
                <w:tcPr>
                  <w:tcW w:w="1230"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烟气量（</w:t>
                  </w:r>
                  <w:r>
                    <w:rPr>
                      <w:sz w:val="21"/>
                      <w:szCs w:val="21"/>
                    </w:rPr>
                    <w:t>Nm</w:t>
                  </w:r>
                  <w:r>
                    <w:rPr>
                      <w:sz w:val="21"/>
                      <w:szCs w:val="21"/>
                      <w:vertAlign w:val="superscript"/>
                    </w:rPr>
                    <w:t>3</w:t>
                  </w:r>
                  <w:r>
                    <w:rPr>
                      <w:sz w:val="21"/>
                      <w:szCs w:val="21"/>
                    </w:rPr>
                    <w:t>/a</w:t>
                  </w:r>
                  <w:r>
                    <w:rPr>
                      <w:rFonts w:hint="eastAsia"/>
                      <w:sz w:val="21"/>
                      <w:szCs w:val="21"/>
                    </w:rPr>
                    <w:t>）</w:t>
                  </w:r>
                </w:p>
              </w:tc>
              <w:tc>
                <w:tcPr>
                  <w:tcW w:w="1017"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污染因子</w:t>
                  </w:r>
                </w:p>
              </w:tc>
              <w:tc>
                <w:tcPr>
                  <w:tcW w:w="921"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排放量</w:t>
                  </w:r>
                </w:p>
                <w:p>
                  <w:pPr>
                    <w:pStyle w:val="2"/>
                    <w:adjustRightInd w:val="0"/>
                    <w:snapToGrid w:val="0"/>
                    <w:spacing w:line="240" w:lineRule="auto"/>
                    <w:ind w:left="0" w:leftChars="0" w:firstLine="0" w:firstLineChars="0"/>
                    <w:jc w:val="center"/>
                    <w:rPr>
                      <w:sz w:val="21"/>
                      <w:szCs w:val="21"/>
                    </w:rPr>
                  </w:pPr>
                  <w:r>
                    <w:rPr>
                      <w:rFonts w:hint="eastAsia"/>
                      <w:sz w:val="21"/>
                      <w:szCs w:val="21"/>
                    </w:rPr>
                    <w:t>（</w:t>
                  </w:r>
                  <w:r>
                    <w:rPr>
                      <w:sz w:val="21"/>
                      <w:szCs w:val="21"/>
                    </w:rPr>
                    <w:t>t/a</w:t>
                  </w:r>
                  <w:r>
                    <w:rPr>
                      <w:rFonts w:hint="eastAsia"/>
                      <w:sz w:val="21"/>
                      <w:szCs w:val="21"/>
                    </w:rPr>
                    <w:t>）</w:t>
                  </w:r>
                </w:p>
              </w:tc>
              <w:tc>
                <w:tcPr>
                  <w:tcW w:w="1110" w:type="dxa"/>
                </w:tcPr>
                <w:p>
                  <w:pPr>
                    <w:pStyle w:val="2"/>
                    <w:adjustRightInd w:val="0"/>
                    <w:snapToGrid w:val="0"/>
                    <w:spacing w:line="240" w:lineRule="auto"/>
                    <w:ind w:left="0" w:leftChars="0" w:firstLine="0" w:firstLineChars="0"/>
                    <w:jc w:val="center"/>
                    <w:rPr>
                      <w:sz w:val="21"/>
                      <w:szCs w:val="21"/>
                    </w:rPr>
                  </w:pPr>
                  <w:r>
                    <w:rPr>
                      <w:rFonts w:hint="eastAsia"/>
                      <w:sz w:val="21"/>
                      <w:szCs w:val="21"/>
                    </w:rPr>
                    <w:t>排放速率</w:t>
                  </w:r>
                </w:p>
                <w:p>
                  <w:pPr>
                    <w:pStyle w:val="2"/>
                    <w:adjustRightInd w:val="0"/>
                    <w:snapToGrid w:val="0"/>
                    <w:spacing w:line="240" w:lineRule="auto"/>
                    <w:ind w:left="0" w:leftChars="0" w:firstLine="0" w:firstLineChars="0"/>
                    <w:jc w:val="center"/>
                    <w:rPr>
                      <w:sz w:val="21"/>
                      <w:szCs w:val="21"/>
                    </w:rPr>
                  </w:pPr>
                  <w:r>
                    <w:rPr>
                      <w:rFonts w:hint="eastAsia"/>
                      <w:sz w:val="21"/>
                      <w:szCs w:val="21"/>
                    </w:rPr>
                    <w:t>（kg/</w:t>
                  </w:r>
                  <w:r>
                    <w:rPr>
                      <w:sz w:val="21"/>
                      <w:szCs w:val="21"/>
                    </w:rPr>
                    <w:t>h</w:t>
                  </w:r>
                  <w:r>
                    <w:rPr>
                      <w:rFonts w:hint="eastAsia"/>
                      <w:sz w:val="21"/>
                      <w:szCs w:val="21"/>
                    </w:rPr>
                    <w:t>）</w:t>
                  </w:r>
                </w:p>
              </w:tc>
              <w:tc>
                <w:tcPr>
                  <w:tcW w:w="123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排放浓度（mg/m</w:t>
                  </w:r>
                  <w:r>
                    <w:rPr>
                      <w:rFonts w:hint="eastAsia"/>
                      <w:sz w:val="21"/>
                      <w:szCs w:val="21"/>
                      <w:vertAlign w:val="superscript"/>
                    </w:rPr>
                    <w:t>3</w:t>
                  </w:r>
                  <w:r>
                    <w:rPr>
                      <w:rFonts w:hint="eastAsia"/>
                      <w:sz w:val="21"/>
                      <w:szCs w:val="21"/>
                    </w:rPr>
                    <w:t>）</w:t>
                  </w:r>
                </w:p>
              </w:tc>
              <w:tc>
                <w:tcPr>
                  <w:tcW w:w="1525"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评价标准（mg/m</w:t>
                  </w:r>
                  <w:r>
                    <w:rPr>
                      <w:rFonts w:hint="eastAsia"/>
                      <w:sz w:val="21"/>
                      <w:szCs w:val="21"/>
                      <w:vertAlign w:val="superscript"/>
                    </w:rPr>
                    <w:t>3</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1508" w:type="dxa"/>
                  <w:vMerge w:val="restart"/>
                  <w:vAlign w:val="center"/>
                </w:tcPr>
                <w:p>
                  <w:pPr>
                    <w:pStyle w:val="2"/>
                    <w:adjustRightInd w:val="0"/>
                    <w:snapToGrid w:val="0"/>
                    <w:spacing w:line="240" w:lineRule="auto"/>
                    <w:ind w:left="0" w:leftChars="0" w:firstLine="0" w:firstLineChars="0"/>
                    <w:jc w:val="center"/>
                    <w:rPr>
                      <w:sz w:val="21"/>
                      <w:szCs w:val="21"/>
                    </w:rPr>
                  </w:pPr>
                  <w:r>
                    <w:rPr>
                      <w:sz w:val="21"/>
                      <w:szCs w:val="21"/>
                    </w:rPr>
                    <w:t>4</w:t>
                  </w:r>
                  <w:r>
                    <w:rPr>
                      <w:rFonts w:hint="eastAsia"/>
                      <w:sz w:val="21"/>
                      <w:szCs w:val="21"/>
                    </w:rPr>
                    <w:t>5万</w:t>
                  </w:r>
                </w:p>
              </w:tc>
              <w:tc>
                <w:tcPr>
                  <w:tcW w:w="1230" w:type="dxa"/>
                  <w:vMerge w:val="restart"/>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613.17万</w:t>
                  </w:r>
                </w:p>
              </w:tc>
              <w:tc>
                <w:tcPr>
                  <w:tcW w:w="1017"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颗粒物</w:t>
                  </w:r>
                </w:p>
              </w:tc>
              <w:tc>
                <w:tcPr>
                  <w:tcW w:w="921" w:type="dxa"/>
                  <w:vAlign w:val="center"/>
                </w:tcPr>
                <w:p>
                  <w:pPr>
                    <w:pStyle w:val="2"/>
                    <w:adjustRightInd w:val="0"/>
                    <w:snapToGrid w:val="0"/>
                    <w:spacing w:line="240" w:lineRule="auto"/>
                    <w:ind w:left="0" w:leftChars="0" w:firstLine="0" w:firstLineChars="0"/>
                    <w:jc w:val="center"/>
                    <w:rPr>
                      <w:sz w:val="21"/>
                      <w:szCs w:val="21"/>
                    </w:rPr>
                  </w:pPr>
                  <w:r>
                    <w:rPr>
                      <w:sz w:val="21"/>
                      <w:szCs w:val="21"/>
                    </w:rPr>
                    <w:t>0.0</w:t>
                  </w:r>
                  <w:r>
                    <w:rPr>
                      <w:rFonts w:hint="eastAsia"/>
                      <w:sz w:val="21"/>
                      <w:szCs w:val="21"/>
                    </w:rPr>
                    <w:t>196</w:t>
                  </w:r>
                </w:p>
              </w:tc>
              <w:tc>
                <w:tcPr>
                  <w:tcW w:w="1110" w:type="dxa"/>
                </w:tcPr>
                <w:p>
                  <w:pPr>
                    <w:pStyle w:val="2"/>
                    <w:adjustRightInd w:val="0"/>
                    <w:snapToGrid w:val="0"/>
                    <w:spacing w:line="240" w:lineRule="auto"/>
                    <w:ind w:left="0" w:leftChars="0" w:firstLine="0" w:firstLineChars="0"/>
                    <w:jc w:val="center"/>
                    <w:rPr>
                      <w:sz w:val="21"/>
                      <w:szCs w:val="21"/>
                    </w:rPr>
                  </w:pPr>
                  <w:r>
                    <w:rPr>
                      <w:sz w:val="21"/>
                      <w:szCs w:val="21"/>
                    </w:rPr>
                    <w:t>0.012</w:t>
                  </w:r>
                </w:p>
              </w:tc>
              <w:tc>
                <w:tcPr>
                  <w:tcW w:w="1239" w:type="dxa"/>
                  <w:vAlign w:val="center"/>
                </w:tcPr>
                <w:p>
                  <w:pPr>
                    <w:pStyle w:val="2"/>
                    <w:adjustRightInd w:val="0"/>
                    <w:snapToGrid w:val="0"/>
                    <w:spacing w:line="240" w:lineRule="auto"/>
                    <w:ind w:left="0" w:leftChars="0" w:firstLine="0" w:firstLineChars="0"/>
                    <w:jc w:val="center"/>
                    <w:rPr>
                      <w:sz w:val="21"/>
                      <w:szCs w:val="21"/>
                    </w:rPr>
                  </w:pPr>
                  <w:r>
                    <w:rPr>
                      <w:sz w:val="21"/>
                      <w:szCs w:val="21"/>
                    </w:rPr>
                    <w:t>3.2</w:t>
                  </w:r>
                </w:p>
              </w:tc>
              <w:tc>
                <w:tcPr>
                  <w:tcW w:w="1525"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508" w:type="dxa"/>
                  <w:vMerge w:val="continue"/>
                  <w:vAlign w:val="center"/>
                </w:tcPr>
                <w:p>
                  <w:pPr>
                    <w:pStyle w:val="2"/>
                    <w:adjustRightInd w:val="0"/>
                    <w:snapToGrid w:val="0"/>
                    <w:spacing w:line="240" w:lineRule="auto"/>
                    <w:ind w:left="0" w:leftChars="0" w:firstLine="0" w:firstLineChars="0"/>
                    <w:jc w:val="center"/>
                    <w:rPr>
                      <w:sz w:val="21"/>
                      <w:szCs w:val="21"/>
                    </w:rPr>
                  </w:pPr>
                </w:p>
              </w:tc>
              <w:tc>
                <w:tcPr>
                  <w:tcW w:w="1230" w:type="dxa"/>
                  <w:vMerge w:val="continue"/>
                  <w:vAlign w:val="center"/>
                </w:tcPr>
                <w:p>
                  <w:pPr>
                    <w:pStyle w:val="2"/>
                    <w:adjustRightInd w:val="0"/>
                    <w:snapToGrid w:val="0"/>
                    <w:spacing w:line="240" w:lineRule="auto"/>
                    <w:ind w:left="0" w:leftChars="0" w:firstLine="0" w:firstLineChars="0"/>
                    <w:jc w:val="center"/>
                    <w:rPr>
                      <w:sz w:val="21"/>
                      <w:szCs w:val="21"/>
                    </w:rPr>
                  </w:pPr>
                </w:p>
              </w:tc>
              <w:tc>
                <w:tcPr>
                  <w:tcW w:w="1017"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SO</w:t>
                  </w:r>
                  <w:r>
                    <w:rPr>
                      <w:rFonts w:hint="eastAsia"/>
                      <w:sz w:val="21"/>
                      <w:szCs w:val="21"/>
                      <w:vertAlign w:val="subscript"/>
                    </w:rPr>
                    <w:t>2</w:t>
                  </w:r>
                </w:p>
              </w:tc>
              <w:tc>
                <w:tcPr>
                  <w:tcW w:w="921" w:type="dxa"/>
                  <w:vAlign w:val="center"/>
                </w:tcPr>
                <w:p>
                  <w:pPr>
                    <w:pStyle w:val="2"/>
                    <w:adjustRightInd w:val="0"/>
                    <w:snapToGrid w:val="0"/>
                    <w:spacing w:line="240" w:lineRule="auto"/>
                    <w:ind w:left="0" w:leftChars="0" w:firstLine="0" w:firstLineChars="0"/>
                    <w:jc w:val="center"/>
                    <w:rPr>
                      <w:sz w:val="21"/>
                      <w:szCs w:val="21"/>
                    </w:rPr>
                  </w:pPr>
                  <w:r>
                    <w:rPr>
                      <w:sz w:val="21"/>
                      <w:szCs w:val="21"/>
                    </w:rPr>
                    <w:t>0.</w:t>
                  </w:r>
                  <w:r>
                    <w:rPr>
                      <w:rFonts w:hint="eastAsia"/>
                      <w:sz w:val="21"/>
                      <w:szCs w:val="21"/>
                    </w:rPr>
                    <w:t>018</w:t>
                  </w:r>
                </w:p>
              </w:tc>
              <w:tc>
                <w:tcPr>
                  <w:tcW w:w="1110" w:type="dxa"/>
                </w:tcPr>
                <w:p>
                  <w:pPr>
                    <w:pStyle w:val="2"/>
                    <w:adjustRightInd w:val="0"/>
                    <w:snapToGrid w:val="0"/>
                    <w:spacing w:line="240" w:lineRule="auto"/>
                    <w:ind w:left="0" w:leftChars="0" w:firstLine="0" w:firstLineChars="0"/>
                    <w:jc w:val="center"/>
                    <w:rPr>
                      <w:sz w:val="21"/>
                      <w:szCs w:val="21"/>
                    </w:rPr>
                  </w:pPr>
                  <w:r>
                    <w:rPr>
                      <w:rFonts w:hint="eastAsia"/>
                      <w:sz w:val="21"/>
                      <w:szCs w:val="21"/>
                    </w:rPr>
                    <w:t>0</w:t>
                  </w:r>
                  <w:r>
                    <w:rPr>
                      <w:sz w:val="21"/>
                      <w:szCs w:val="21"/>
                    </w:rPr>
                    <w:t>.0</w:t>
                  </w:r>
                  <w:r>
                    <w:rPr>
                      <w:rFonts w:hint="eastAsia"/>
                      <w:sz w:val="21"/>
                      <w:szCs w:val="21"/>
                    </w:rPr>
                    <w:t>11</w:t>
                  </w:r>
                </w:p>
              </w:tc>
              <w:tc>
                <w:tcPr>
                  <w:tcW w:w="123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2.94</w:t>
                  </w:r>
                </w:p>
              </w:tc>
              <w:tc>
                <w:tcPr>
                  <w:tcW w:w="1525"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508" w:type="dxa"/>
                  <w:vMerge w:val="continue"/>
                  <w:vAlign w:val="center"/>
                </w:tcPr>
                <w:p>
                  <w:pPr>
                    <w:pStyle w:val="2"/>
                    <w:adjustRightInd w:val="0"/>
                    <w:snapToGrid w:val="0"/>
                    <w:spacing w:line="240" w:lineRule="auto"/>
                    <w:ind w:left="0" w:leftChars="0" w:firstLine="0" w:firstLineChars="0"/>
                    <w:jc w:val="center"/>
                    <w:rPr>
                      <w:sz w:val="21"/>
                      <w:szCs w:val="21"/>
                    </w:rPr>
                  </w:pPr>
                </w:p>
              </w:tc>
              <w:tc>
                <w:tcPr>
                  <w:tcW w:w="1230" w:type="dxa"/>
                  <w:vMerge w:val="continue"/>
                  <w:vAlign w:val="center"/>
                </w:tcPr>
                <w:p>
                  <w:pPr>
                    <w:pStyle w:val="2"/>
                    <w:adjustRightInd w:val="0"/>
                    <w:snapToGrid w:val="0"/>
                    <w:spacing w:line="240" w:lineRule="auto"/>
                    <w:ind w:left="0" w:leftChars="0" w:firstLine="0" w:firstLineChars="0"/>
                    <w:jc w:val="center"/>
                    <w:rPr>
                      <w:sz w:val="21"/>
                      <w:szCs w:val="21"/>
                    </w:rPr>
                  </w:pPr>
                </w:p>
              </w:tc>
              <w:tc>
                <w:tcPr>
                  <w:tcW w:w="1017"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NO</w:t>
                  </w:r>
                  <w:r>
                    <w:rPr>
                      <w:rFonts w:hint="eastAsia"/>
                      <w:sz w:val="21"/>
                      <w:szCs w:val="21"/>
                      <w:vertAlign w:val="subscript"/>
                    </w:rPr>
                    <w:t>X</w:t>
                  </w:r>
                </w:p>
              </w:tc>
              <w:tc>
                <w:tcPr>
                  <w:tcW w:w="921" w:type="dxa"/>
                  <w:vAlign w:val="center"/>
                </w:tcPr>
                <w:p>
                  <w:pPr>
                    <w:pStyle w:val="2"/>
                    <w:adjustRightInd w:val="0"/>
                    <w:snapToGrid w:val="0"/>
                    <w:spacing w:line="240" w:lineRule="auto"/>
                    <w:ind w:left="0" w:leftChars="0" w:firstLine="0" w:firstLineChars="0"/>
                    <w:jc w:val="center"/>
                    <w:rPr>
                      <w:sz w:val="21"/>
                      <w:szCs w:val="21"/>
                    </w:rPr>
                  </w:pPr>
                  <w:r>
                    <w:rPr>
                      <w:sz w:val="21"/>
                      <w:szCs w:val="21"/>
                    </w:rPr>
                    <w:t>0.1</w:t>
                  </w:r>
                  <w:r>
                    <w:rPr>
                      <w:rFonts w:hint="eastAsia"/>
                      <w:sz w:val="21"/>
                      <w:szCs w:val="21"/>
                    </w:rPr>
                    <w:t>8</w:t>
                  </w:r>
                  <w:r>
                    <w:t xml:space="preserve"> </w:t>
                  </w:r>
                </w:p>
              </w:tc>
              <w:tc>
                <w:tcPr>
                  <w:tcW w:w="1110" w:type="dxa"/>
                </w:tcPr>
                <w:p>
                  <w:pPr>
                    <w:pStyle w:val="2"/>
                    <w:adjustRightInd w:val="0"/>
                    <w:snapToGrid w:val="0"/>
                    <w:spacing w:line="240" w:lineRule="auto"/>
                    <w:ind w:left="0" w:leftChars="0" w:firstLine="0" w:firstLineChars="0"/>
                    <w:jc w:val="center"/>
                    <w:rPr>
                      <w:sz w:val="21"/>
                      <w:szCs w:val="21"/>
                    </w:rPr>
                  </w:pPr>
                  <w:r>
                    <w:rPr>
                      <w:rFonts w:hint="eastAsia"/>
                      <w:sz w:val="21"/>
                      <w:szCs w:val="21"/>
                    </w:rPr>
                    <w:t>0</w:t>
                  </w:r>
                  <w:r>
                    <w:rPr>
                      <w:sz w:val="21"/>
                      <w:szCs w:val="21"/>
                    </w:rPr>
                    <w:t>.</w:t>
                  </w:r>
                  <w:r>
                    <w:rPr>
                      <w:rFonts w:hint="eastAsia"/>
                      <w:sz w:val="21"/>
                      <w:szCs w:val="21"/>
                    </w:rPr>
                    <w:t>114</w:t>
                  </w:r>
                </w:p>
              </w:tc>
              <w:tc>
                <w:tcPr>
                  <w:tcW w:w="123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30</w:t>
                  </w:r>
                </w:p>
              </w:tc>
              <w:tc>
                <w:tcPr>
                  <w:tcW w:w="1525"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50</w:t>
                  </w:r>
                </w:p>
              </w:tc>
            </w:tr>
            <w:bookmarkEnd w:id="26"/>
          </w:tbl>
          <w:p>
            <w:pPr>
              <w:pStyle w:val="2"/>
              <w:adjustRightInd w:val="0"/>
              <w:snapToGrid w:val="0"/>
              <w:spacing w:line="360" w:lineRule="auto"/>
              <w:ind w:left="0" w:leftChars="0" w:firstLine="480" w:firstLineChars="200"/>
              <w:jc w:val="left"/>
            </w:pPr>
            <w:r>
              <w:rPr>
                <w:rFonts w:hint="eastAsia"/>
              </w:rPr>
              <w:t>（2）废水</w:t>
            </w:r>
          </w:p>
          <w:p>
            <w:pPr>
              <w:pStyle w:val="2"/>
              <w:adjustRightInd w:val="0"/>
              <w:snapToGrid w:val="0"/>
              <w:spacing w:line="360" w:lineRule="auto"/>
              <w:ind w:left="0" w:leftChars="0" w:firstLine="480" w:firstLineChars="200"/>
              <w:jc w:val="left"/>
            </w:pPr>
            <w:r>
              <w:rPr>
                <w:rFonts w:hint="eastAsia"/>
                <w:szCs w:val="22"/>
              </w:rPr>
              <w:t>生活废水：</w:t>
            </w:r>
            <w:r>
              <w:rPr>
                <w:rFonts w:hint="eastAsia"/>
              </w:rPr>
              <w:t>本项目不增劳动定员，因此本项目无新增生活废水产生。</w:t>
            </w:r>
          </w:p>
          <w:p>
            <w:pPr>
              <w:pStyle w:val="2"/>
              <w:adjustRightInd w:val="0"/>
              <w:snapToGrid w:val="0"/>
              <w:spacing w:line="360" w:lineRule="auto"/>
              <w:ind w:left="0" w:leftChars="0" w:firstLine="432" w:firstLineChars="180"/>
            </w:pPr>
            <w:r>
              <w:rPr>
                <w:rFonts w:hint="eastAsia"/>
              </w:rPr>
              <w:t>软化废水：当软化水制备系统的树脂吸收一定量的钙镁离子后，就必须进行再生，树脂再生过程中软化水装置会产生软化废水，本项目软化废水产生量为0.</w:t>
            </w:r>
            <w:r>
              <w:t>01</w:t>
            </w:r>
            <w:r>
              <w:rPr>
                <w:rFonts w:hint="eastAsia"/>
              </w:rPr>
              <w:t>m</w:t>
            </w:r>
            <w:r>
              <w:rPr>
                <w:rFonts w:hint="eastAsia"/>
                <w:vertAlign w:val="superscript"/>
              </w:rPr>
              <w:t>3</w:t>
            </w:r>
            <w:r>
              <w:rPr>
                <w:rFonts w:hint="eastAsia"/>
              </w:rPr>
              <w:t>/d。</w:t>
            </w:r>
          </w:p>
          <w:p>
            <w:pPr>
              <w:pStyle w:val="2"/>
              <w:adjustRightInd w:val="0"/>
              <w:snapToGrid w:val="0"/>
              <w:spacing w:line="360" w:lineRule="auto"/>
              <w:ind w:left="0" w:leftChars="0" w:firstLine="432" w:firstLineChars="180"/>
            </w:pPr>
            <w:r>
              <w:rPr>
                <w:rFonts w:hint="eastAsia"/>
              </w:rPr>
              <w:t>锅炉排水：锅炉运行过程中，随着水不断蒸发浓缩，水中杂质浓度不断变大，当达到一定程度就会给锅炉带来不利影响。为了使锅炉水质各项指标均控制在标准范围内，就要定期排水，本项目锅炉排水量为0</w:t>
            </w:r>
            <w:r>
              <w:t>.12</w:t>
            </w:r>
            <w:r>
              <w:rPr>
                <w:rFonts w:hint="eastAsia"/>
              </w:rPr>
              <w:t>m</w:t>
            </w:r>
            <w:r>
              <w:rPr>
                <w:rFonts w:hint="eastAsia"/>
                <w:vertAlign w:val="superscript"/>
              </w:rPr>
              <w:t>3</w:t>
            </w:r>
            <w:r>
              <w:rPr>
                <w:rFonts w:hint="eastAsia"/>
              </w:rPr>
              <w:t>/d，</w:t>
            </w:r>
          </w:p>
          <w:p>
            <w:pPr>
              <w:pStyle w:val="2"/>
              <w:adjustRightInd w:val="0"/>
              <w:snapToGrid w:val="0"/>
              <w:spacing w:line="360" w:lineRule="auto"/>
              <w:ind w:left="0" w:leftChars="0" w:firstLine="432" w:firstLineChars="180"/>
            </w:pPr>
            <w:r>
              <w:rPr>
                <w:rFonts w:hint="eastAsia"/>
              </w:rPr>
              <w:t>锅炉排水与软化废水中主要污染物为盐类，较清洁，经酒店现有排水管网排入市政污水管网后进入柞水县污水处理厂。</w:t>
            </w:r>
          </w:p>
          <w:p>
            <w:pPr>
              <w:pStyle w:val="2"/>
              <w:adjustRightInd w:val="0"/>
              <w:snapToGrid w:val="0"/>
              <w:spacing w:line="360" w:lineRule="auto"/>
              <w:ind w:left="0" w:leftChars="0" w:firstLine="480" w:firstLineChars="200"/>
              <w:jc w:val="left"/>
            </w:pPr>
            <w:r>
              <w:rPr>
                <w:rFonts w:hint="eastAsia"/>
              </w:rPr>
              <w:t>（3）噪声</w:t>
            </w:r>
          </w:p>
          <w:p>
            <w:pPr>
              <w:pStyle w:val="2"/>
              <w:adjustRightInd w:val="0"/>
              <w:snapToGrid w:val="0"/>
              <w:spacing w:line="360" w:lineRule="auto"/>
              <w:ind w:left="0" w:leftChars="0" w:firstLine="432" w:firstLineChars="180"/>
              <w:jc w:val="left"/>
            </w:pPr>
            <w:r>
              <w:rPr>
                <w:rFonts w:hint="eastAsia"/>
              </w:rPr>
              <w:t>本项目运营期主要噪声源为风机、水泵等。风机、泵的噪声为连续排放，噪声值一般在85～90dB(A)之间。</w:t>
            </w:r>
          </w:p>
          <w:p>
            <w:pPr>
              <w:pStyle w:val="2"/>
              <w:adjustRightInd w:val="0"/>
              <w:snapToGrid w:val="0"/>
              <w:spacing w:line="360" w:lineRule="auto"/>
              <w:ind w:left="0" w:leftChars="0" w:firstLine="432" w:firstLineChars="180"/>
              <w:jc w:val="left"/>
            </w:pPr>
            <w:r>
              <w:rPr>
                <w:rFonts w:hint="eastAsia"/>
              </w:rPr>
              <w:t>项目输气管道在系统超压时对天然气做放空处理，放空天然气产生的噪声为偶发瞬时噪声，噪声值约为110dB</w:t>
            </w:r>
            <w:r>
              <w:t xml:space="preserve"> </w:t>
            </w:r>
            <w:r>
              <w:rPr>
                <w:rFonts w:hint="eastAsia"/>
              </w:rPr>
              <w:t>(A)，对距离放空管较近范围内的环境保护目标有不同程度的影响，但这种影响是暂时的。为进一步减轻放空噪声的影响，环评要求建设单位在放置放空管处安装消声器，并注意调节气流量，通过气流量的合理控制减少噪声影响。同时，环评要求放空时间安排在昼间（6：00~22：00），应避免在夜间进行放空作业。</w:t>
            </w:r>
          </w:p>
          <w:p>
            <w:pPr>
              <w:pStyle w:val="2"/>
              <w:adjustRightInd w:val="0"/>
              <w:snapToGrid w:val="0"/>
              <w:spacing w:line="360" w:lineRule="auto"/>
              <w:ind w:left="0" w:leftChars="0" w:firstLine="432" w:firstLineChars="180"/>
              <w:jc w:val="left"/>
            </w:pPr>
            <w:r>
              <w:rPr>
                <w:rFonts w:hint="eastAsia"/>
              </w:rPr>
              <w:t>噪声源强统计见表12。</w:t>
            </w:r>
          </w:p>
          <w:p>
            <w:pPr>
              <w:pStyle w:val="2"/>
              <w:adjustRightInd w:val="0"/>
              <w:snapToGrid w:val="0"/>
              <w:spacing w:line="360" w:lineRule="auto"/>
              <w:ind w:left="0" w:leftChars="0" w:firstLine="432" w:firstLineChars="180"/>
              <w:jc w:val="center"/>
              <w:rPr>
                <w:rFonts w:eastAsia="黑体"/>
              </w:rPr>
            </w:pPr>
            <w:r>
              <w:rPr>
                <w:rFonts w:hint="eastAsia" w:eastAsia="黑体"/>
              </w:rPr>
              <w:t>表12 锅炉房主要噪声源及防治措施</w:t>
            </w:r>
          </w:p>
          <w:tbl>
            <w:tblPr>
              <w:tblStyle w:val="25"/>
              <w:tblW w:w="86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8"/>
              <w:gridCol w:w="922"/>
              <w:gridCol w:w="1159"/>
              <w:gridCol w:w="1159"/>
              <w:gridCol w:w="2825"/>
              <w:gridCol w:w="992"/>
              <w:gridCol w:w="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608"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序号</w:t>
                  </w:r>
                </w:p>
              </w:tc>
              <w:tc>
                <w:tcPr>
                  <w:tcW w:w="92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噪声源</w:t>
                  </w:r>
                </w:p>
              </w:tc>
              <w:tc>
                <w:tcPr>
                  <w:tcW w:w="115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台数</w:t>
                  </w:r>
                </w:p>
              </w:tc>
              <w:tc>
                <w:tcPr>
                  <w:tcW w:w="115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源强dB（A）</w:t>
                  </w:r>
                </w:p>
              </w:tc>
              <w:tc>
                <w:tcPr>
                  <w:tcW w:w="2825"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环评建议降噪措施</w:t>
                  </w:r>
                </w:p>
              </w:tc>
              <w:tc>
                <w:tcPr>
                  <w:tcW w:w="99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排放</w:t>
                  </w:r>
                </w:p>
                <w:p>
                  <w:pPr>
                    <w:pStyle w:val="2"/>
                    <w:adjustRightInd w:val="0"/>
                    <w:snapToGrid w:val="0"/>
                    <w:spacing w:line="240" w:lineRule="auto"/>
                    <w:ind w:left="0" w:leftChars="0" w:firstLine="0" w:firstLineChars="0"/>
                    <w:jc w:val="center"/>
                    <w:rPr>
                      <w:sz w:val="21"/>
                      <w:szCs w:val="21"/>
                    </w:rPr>
                  </w:pPr>
                  <w:r>
                    <w:rPr>
                      <w:rFonts w:hint="eastAsia"/>
                      <w:sz w:val="21"/>
                      <w:szCs w:val="21"/>
                    </w:rPr>
                    <w:t>规律</w:t>
                  </w:r>
                </w:p>
              </w:tc>
              <w:tc>
                <w:tcPr>
                  <w:tcW w:w="99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治理后源强dB（A）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jc w:val="center"/>
              </w:trPr>
              <w:tc>
                <w:tcPr>
                  <w:tcW w:w="608"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1</w:t>
                  </w:r>
                </w:p>
              </w:tc>
              <w:tc>
                <w:tcPr>
                  <w:tcW w:w="92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风机</w:t>
                  </w:r>
                </w:p>
              </w:tc>
              <w:tc>
                <w:tcPr>
                  <w:tcW w:w="115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1</w:t>
                  </w:r>
                </w:p>
              </w:tc>
              <w:tc>
                <w:tcPr>
                  <w:tcW w:w="115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90</w:t>
                  </w:r>
                </w:p>
              </w:tc>
              <w:tc>
                <w:tcPr>
                  <w:tcW w:w="2825" w:type="dxa"/>
                  <w:vAlign w:val="center"/>
                </w:tcPr>
                <w:p>
                  <w:pPr>
                    <w:pStyle w:val="2"/>
                    <w:adjustRightInd w:val="0"/>
                    <w:snapToGrid w:val="0"/>
                    <w:spacing w:line="240" w:lineRule="auto"/>
                    <w:ind w:left="0" w:leftChars="0" w:firstLine="0" w:firstLineChars="0"/>
                    <w:jc w:val="left"/>
                    <w:rPr>
                      <w:sz w:val="21"/>
                      <w:szCs w:val="21"/>
                    </w:rPr>
                  </w:pPr>
                  <w:r>
                    <w:rPr>
                      <w:rFonts w:hint="eastAsia"/>
                      <w:sz w:val="21"/>
                      <w:szCs w:val="21"/>
                    </w:rPr>
                    <w:t>在风机的进、出口处安装阻性消声器、在机组与地基之间安置减震器；</w:t>
                  </w:r>
                </w:p>
              </w:tc>
              <w:tc>
                <w:tcPr>
                  <w:tcW w:w="99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连续</w:t>
                  </w:r>
                </w:p>
              </w:tc>
              <w:tc>
                <w:tcPr>
                  <w:tcW w:w="99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jc w:val="center"/>
              </w:trPr>
              <w:tc>
                <w:tcPr>
                  <w:tcW w:w="608"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2</w:t>
                  </w:r>
                </w:p>
              </w:tc>
              <w:tc>
                <w:tcPr>
                  <w:tcW w:w="92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泵</w:t>
                  </w:r>
                </w:p>
              </w:tc>
              <w:tc>
                <w:tcPr>
                  <w:tcW w:w="115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2</w:t>
                  </w:r>
                </w:p>
              </w:tc>
              <w:tc>
                <w:tcPr>
                  <w:tcW w:w="115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85</w:t>
                  </w:r>
                </w:p>
              </w:tc>
              <w:tc>
                <w:tcPr>
                  <w:tcW w:w="2825" w:type="dxa"/>
                  <w:vAlign w:val="center"/>
                </w:tcPr>
                <w:p>
                  <w:pPr>
                    <w:pStyle w:val="2"/>
                    <w:adjustRightInd w:val="0"/>
                    <w:snapToGrid w:val="0"/>
                    <w:spacing w:line="240" w:lineRule="auto"/>
                    <w:ind w:left="0" w:leftChars="0" w:firstLine="0" w:firstLineChars="0"/>
                    <w:jc w:val="left"/>
                    <w:rPr>
                      <w:sz w:val="21"/>
                      <w:szCs w:val="21"/>
                    </w:rPr>
                  </w:pPr>
                  <w:r>
                    <w:rPr>
                      <w:rFonts w:hint="eastAsia"/>
                      <w:sz w:val="21"/>
                      <w:szCs w:val="21"/>
                    </w:rPr>
                    <w:t>在水泵底座安装减振台，使用弹性支架、弹性连接来降低管道的振动性</w:t>
                  </w:r>
                </w:p>
              </w:tc>
              <w:tc>
                <w:tcPr>
                  <w:tcW w:w="99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连续</w:t>
                  </w:r>
                </w:p>
              </w:tc>
              <w:tc>
                <w:tcPr>
                  <w:tcW w:w="99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jc w:val="center"/>
              </w:trPr>
              <w:tc>
                <w:tcPr>
                  <w:tcW w:w="608"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3</w:t>
                  </w:r>
                </w:p>
              </w:tc>
              <w:tc>
                <w:tcPr>
                  <w:tcW w:w="92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放空管</w:t>
                  </w:r>
                </w:p>
              </w:tc>
              <w:tc>
                <w:tcPr>
                  <w:tcW w:w="115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1</w:t>
                  </w:r>
                </w:p>
              </w:tc>
              <w:tc>
                <w:tcPr>
                  <w:tcW w:w="1159"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110</w:t>
                  </w:r>
                </w:p>
              </w:tc>
              <w:tc>
                <w:tcPr>
                  <w:tcW w:w="2825" w:type="dxa"/>
                  <w:vAlign w:val="center"/>
                </w:tcPr>
                <w:p>
                  <w:pPr>
                    <w:pStyle w:val="2"/>
                    <w:adjustRightInd w:val="0"/>
                    <w:snapToGrid w:val="0"/>
                    <w:spacing w:line="240" w:lineRule="auto"/>
                    <w:ind w:left="0" w:leftChars="0" w:firstLine="0" w:firstLineChars="0"/>
                    <w:jc w:val="left"/>
                    <w:rPr>
                      <w:sz w:val="21"/>
                      <w:szCs w:val="21"/>
                    </w:rPr>
                  </w:pPr>
                  <w:r>
                    <w:rPr>
                      <w:rFonts w:hint="eastAsia"/>
                      <w:sz w:val="21"/>
                      <w:szCs w:val="21"/>
                    </w:rPr>
                    <w:t>在放置放空管处安装消声器</w:t>
                  </w:r>
                </w:p>
              </w:tc>
              <w:tc>
                <w:tcPr>
                  <w:tcW w:w="99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偶发</w:t>
                  </w:r>
                </w:p>
              </w:tc>
              <w:tc>
                <w:tcPr>
                  <w:tcW w:w="992" w:type="dxa"/>
                  <w:vAlign w:val="center"/>
                </w:tcPr>
                <w:p>
                  <w:pPr>
                    <w:pStyle w:val="2"/>
                    <w:adjustRightInd w:val="0"/>
                    <w:snapToGrid w:val="0"/>
                    <w:spacing w:line="240" w:lineRule="auto"/>
                    <w:ind w:left="0" w:leftChars="0" w:firstLine="0" w:firstLineChars="0"/>
                    <w:jc w:val="center"/>
                    <w:rPr>
                      <w:sz w:val="21"/>
                      <w:szCs w:val="21"/>
                    </w:rPr>
                  </w:pPr>
                  <w:r>
                    <w:rPr>
                      <w:rFonts w:hint="eastAsia"/>
                      <w:sz w:val="21"/>
                      <w:szCs w:val="21"/>
                    </w:rPr>
                    <w:t>90</w:t>
                  </w:r>
                </w:p>
              </w:tc>
            </w:tr>
          </w:tbl>
          <w:p>
            <w:pPr>
              <w:pStyle w:val="2"/>
              <w:adjustRightInd w:val="0"/>
              <w:snapToGrid w:val="0"/>
              <w:spacing w:line="360" w:lineRule="auto"/>
              <w:ind w:left="0" w:leftChars="0" w:firstLine="480" w:firstLineChars="200"/>
              <w:jc w:val="left"/>
              <w:rPr>
                <w:rFonts w:ascii="宋体" w:hAnsi="宋体" w:cs="宋体"/>
                <w:b/>
                <w:bCs/>
              </w:rPr>
            </w:pPr>
            <w:r>
              <w:rPr>
                <w:rFonts w:hint="eastAsia"/>
              </w:rPr>
              <w:t>（4）固废</w:t>
            </w:r>
          </w:p>
          <w:p>
            <w:pPr>
              <w:pStyle w:val="2"/>
              <w:adjustRightInd w:val="0"/>
              <w:snapToGrid w:val="0"/>
              <w:spacing w:line="360" w:lineRule="auto"/>
              <w:ind w:left="0" w:leftChars="0" w:firstLine="480" w:firstLineChars="200"/>
              <w:rPr>
                <w:rFonts w:cs="宋体"/>
                <w:bCs/>
              </w:rPr>
            </w:pPr>
            <w:r>
              <w:rPr>
                <w:rFonts w:hint="eastAsia" w:cs="宋体"/>
                <w:bCs/>
              </w:rPr>
              <w:t>本项目拆除燃煤锅炉新建燃气锅炉，项目实施后原有的锅炉灰渣将不存在。</w:t>
            </w:r>
          </w:p>
          <w:p>
            <w:pPr>
              <w:pStyle w:val="2"/>
              <w:adjustRightInd w:val="0"/>
              <w:snapToGrid w:val="0"/>
              <w:spacing w:line="360" w:lineRule="auto"/>
              <w:ind w:left="0" w:leftChars="0" w:firstLine="480" w:firstLineChars="200"/>
              <w:rPr>
                <w:rFonts w:cs="宋体"/>
                <w:bCs/>
              </w:rPr>
            </w:pPr>
            <w:r>
              <w:rPr>
                <w:rFonts w:hint="eastAsia" w:cs="宋体"/>
                <w:bCs/>
              </w:rPr>
              <w:t>软化水装置会产生一定量的废离子交换树脂，根据《国家危险废物名录》（2016版），废离子交换树脂属于危险废物，危险废物代码为HW13-900-015-13，其更换频率约5~8年更换一次，本次评价要求建设单位更换离子树脂时提前联系有资质单位，更换后直接交由资质单位按照危废转移联单接收处置，废离子交换树脂不在厂区暂存。</w:t>
            </w:r>
          </w:p>
          <w:p>
            <w:pPr>
              <w:pStyle w:val="2"/>
              <w:adjustRightInd w:val="0"/>
              <w:snapToGrid w:val="0"/>
              <w:spacing w:line="360" w:lineRule="auto"/>
              <w:ind w:left="0" w:leftChars="0" w:firstLine="434" w:firstLineChars="180"/>
              <w:rPr>
                <w:b/>
              </w:rPr>
            </w:pPr>
            <w:r>
              <w:rPr>
                <w:rFonts w:hint="eastAsia"/>
                <w:b/>
              </w:rPr>
              <w:t>三、整改后“三废”排放情况汇总</w:t>
            </w:r>
          </w:p>
          <w:p>
            <w:pPr>
              <w:pStyle w:val="2"/>
              <w:adjustRightInd w:val="0"/>
              <w:snapToGrid w:val="0"/>
              <w:spacing w:line="360" w:lineRule="auto"/>
              <w:ind w:left="0" w:leftChars="0" w:firstLine="480" w:firstLineChars="200"/>
              <w:rPr>
                <w:rFonts w:cs="宋体"/>
                <w:bCs/>
              </w:rPr>
            </w:pPr>
            <w:r>
              <w:rPr>
                <w:rFonts w:hint="eastAsia" w:cs="宋体"/>
                <w:bCs/>
              </w:rPr>
              <w:t>本项目完成后，削减了颗粒物、NO</w:t>
            </w:r>
            <w:r>
              <w:rPr>
                <w:rFonts w:hint="eastAsia" w:cs="宋体"/>
                <w:bCs/>
                <w:vertAlign w:val="subscript"/>
              </w:rPr>
              <w:t>x</w:t>
            </w:r>
            <w:r>
              <w:rPr>
                <w:rFonts w:hint="eastAsia" w:cs="宋体"/>
                <w:bCs/>
              </w:rPr>
              <w:t>、SO</w:t>
            </w:r>
            <w:r>
              <w:rPr>
                <w:rFonts w:hint="eastAsia" w:cs="宋体"/>
                <w:bCs/>
                <w:vertAlign w:val="subscript"/>
              </w:rPr>
              <w:t>2</w:t>
            </w:r>
            <w:r>
              <w:rPr>
                <w:rFonts w:hint="eastAsia" w:cs="宋体"/>
                <w:bCs/>
              </w:rPr>
              <w:t>排放量。整改前后污染物排放“三本账”见表13。</w:t>
            </w:r>
          </w:p>
          <w:p>
            <w:pPr>
              <w:pStyle w:val="2"/>
              <w:spacing w:line="360" w:lineRule="auto"/>
              <w:ind w:firstLine="432" w:firstLineChars="180"/>
              <w:jc w:val="center"/>
              <w:rPr>
                <w:rFonts w:eastAsia="黑体"/>
              </w:rPr>
            </w:pPr>
          </w:p>
          <w:p>
            <w:pPr>
              <w:pStyle w:val="2"/>
              <w:spacing w:line="360" w:lineRule="auto"/>
              <w:ind w:firstLine="432" w:firstLineChars="180"/>
              <w:jc w:val="center"/>
              <w:rPr>
                <w:rFonts w:eastAsia="黑体"/>
              </w:rPr>
            </w:pPr>
          </w:p>
          <w:p>
            <w:pPr>
              <w:pStyle w:val="2"/>
              <w:spacing w:line="360" w:lineRule="auto"/>
              <w:ind w:left="0" w:leftChars="0" w:firstLine="0" w:firstLineChars="0"/>
              <w:rPr>
                <w:rFonts w:eastAsia="黑体"/>
              </w:rPr>
            </w:pPr>
          </w:p>
          <w:p>
            <w:pPr>
              <w:pStyle w:val="2"/>
              <w:spacing w:line="360" w:lineRule="auto"/>
              <w:ind w:firstLine="432" w:firstLineChars="180"/>
              <w:jc w:val="center"/>
              <w:rPr>
                <w:rFonts w:eastAsia="黑体"/>
              </w:rPr>
            </w:pPr>
            <w:r>
              <w:rPr>
                <w:rFonts w:hint="eastAsia" w:eastAsia="黑体"/>
              </w:rPr>
              <w:t>表13</w:t>
            </w:r>
            <w:r>
              <w:rPr>
                <w:rFonts w:eastAsia="黑体"/>
              </w:rPr>
              <w:t xml:space="preserve"> </w:t>
            </w:r>
            <w:r>
              <w:rPr>
                <w:rFonts w:hint="eastAsia" w:eastAsia="黑体"/>
              </w:rPr>
              <w:t>污染物排放“三本账”</w:t>
            </w:r>
          </w:p>
          <w:tbl>
            <w:tblPr>
              <w:tblStyle w:val="25"/>
              <w:tblW w:w="878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276"/>
              <w:gridCol w:w="1134"/>
              <w:gridCol w:w="1276"/>
              <w:gridCol w:w="1276"/>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类别</w:t>
                  </w:r>
                </w:p>
              </w:tc>
              <w:tc>
                <w:tcPr>
                  <w:tcW w:w="1134"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污染物</w:t>
                  </w:r>
                </w:p>
                <w:p>
                  <w:pPr>
                    <w:pStyle w:val="2"/>
                    <w:adjustRightInd w:val="0"/>
                    <w:snapToGrid w:val="0"/>
                    <w:spacing w:line="300" w:lineRule="auto"/>
                    <w:ind w:left="0" w:leftChars="0" w:firstLine="0" w:firstLineChars="0"/>
                    <w:jc w:val="center"/>
                    <w:rPr>
                      <w:sz w:val="21"/>
                      <w:szCs w:val="21"/>
                    </w:rPr>
                  </w:pPr>
                  <w:r>
                    <w:rPr>
                      <w:rFonts w:hint="eastAsia"/>
                      <w:sz w:val="21"/>
                      <w:szCs w:val="21"/>
                    </w:rPr>
                    <w:t>名称</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现有燃煤锅炉排放量（</w:t>
                  </w:r>
                  <w:r>
                    <w:rPr>
                      <w:sz w:val="21"/>
                      <w:szCs w:val="21"/>
                    </w:rPr>
                    <w:t>t/a</w:t>
                  </w:r>
                  <w:r>
                    <w:rPr>
                      <w:rFonts w:hint="eastAsia"/>
                      <w:sz w:val="21"/>
                      <w:szCs w:val="21"/>
                    </w:rPr>
                    <w:t>）</w:t>
                  </w:r>
                </w:p>
              </w:tc>
              <w:tc>
                <w:tcPr>
                  <w:tcW w:w="1134"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新建燃气锅炉排放量（t/a）</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以新带老削减量（t/a）</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排放增减量（t/a）</w:t>
                  </w:r>
                </w:p>
              </w:tc>
              <w:tc>
                <w:tcPr>
                  <w:tcW w:w="1559"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最终排放量（t/a）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restart"/>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大气污</w:t>
                  </w:r>
                </w:p>
                <w:p>
                  <w:pPr>
                    <w:pStyle w:val="2"/>
                    <w:adjustRightInd w:val="0"/>
                    <w:snapToGrid w:val="0"/>
                    <w:spacing w:line="300" w:lineRule="auto"/>
                    <w:ind w:left="0" w:leftChars="0" w:firstLine="0" w:firstLineChars="0"/>
                    <w:jc w:val="center"/>
                    <w:rPr>
                      <w:sz w:val="21"/>
                      <w:szCs w:val="21"/>
                    </w:rPr>
                  </w:pPr>
                  <w:r>
                    <w:rPr>
                      <w:rFonts w:hint="eastAsia"/>
                      <w:sz w:val="21"/>
                      <w:szCs w:val="21"/>
                    </w:rPr>
                    <w:t>染物</w:t>
                  </w:r>
                </w:p>
              </w:tc>
              <w:tc>
                <w:tcPr>
                  <w:tcW w:w="1134" w:type="dxa"/>
                  <w:vAlign w:val="center"/>
                </w:tcPr>
                <w:p>
                  <w:pPr>
                    <w:adjustRightInd w:val="0"/>
                    <w:snapToGrid w:val="0"/>
                    <w:spacing w:line="300" w:lineRule="auto"/>
                    <w:jc w:val="center"/>
                    <w:rPr>
                      <w:szCs w:val="21"/>
                    </w:rPr>
                  </w:pPr>
                  <w:r>
                    <w:rPr>
                      <w:szCs w:val="21"/>
                    </w:rPr>
                    <w:t>颗粒物</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5.88</w:t>
                  </w:r>
                </w:p>
              </w:tc>
              <w:tc>
                <w:tcPr>
                  <w:tcW w:w="1134"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0.0196</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5.86</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-5.86</w:t>
                  </w:r>
                </w:p>
              </w:tc>
              <w:tc>
                <w:tcPr>
                  <w:tcW w:w="1559"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0.0196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continue"/>
                  <w:vAlign w:val="center"/>
                </w:tcPr>
                <w:p>
                  <w:pPr>
                    <w:pStyle w:val="2"/>
                    <w:adjustRightInd w:val="0"/>
                    <w:snapToGrid w:val="0"/>
                    <w:spacing w:line="300" w:lineRule="auto"/>
                    <w:ind w:left="0" w:leftChars="0" w:firstLine="0" w:firstLineChars="0"/>
                    <w:jc w:val="center"/>
                    <w:rPr>
                      <w:sz w:val="21"/>
                      <w:szCs w:val="21"/>
                    </w:rPr>
                  </w:pPr>
                </w:p>
              </w:tc>
              <w:tc>
                <w:tcPr>
                  <w:tcW w:w="1134" w:type="dxa"/>
                  <w:vAlign w:val="center"/>
                </w:tcPr>
                <w:p>
                  <w:pPr>
                    <w:adjustRightInd w:val="0"/>
                    <w:snapToGrid w:val="0"/>
                    <w:spacing w:line="300" w:lineRule="auto"/>
                    <w:jc w:val="center"/>
                    <w:rPr>
                      <w:szCs w:val="21"/>
                    </w:rPr>
                  </w:pPr>
                  <w:r>
                    <w:rPr>
                      <w:szCs w:val="21"/>
                    </w:rPr>
                    <w:t>SO</w:t>
                  </w:r>
                  <w:r>
                    <w:rPr>
                      <w:szCs w:val="21"/>
                      <w:vertAlign w:val="subscript"/>
                    </w:rPr>
                    <w:t>2</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31.25</w:t>
                  </w:r>
                </w:p>
              </w:tc>
              <w:tc>
                <w:tcPr>
                  <w:tcW w:w="1134"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0.018</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31.23</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-31.23</w:t>
                  </w:r>
                </w:p>
              </w:tc>
              <w:tc>
                <w:tcPr>
                  <w:tcW w:w="1559"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continue"/>
                  <w:vAlign w:val="center"/>
                </w:tcPr>
                <w:p>
                  <w:pPr>
                    <w:pStyle w:val="2"/>
                    <w:adjustRightInd w:val="0"/>
                    <w:snapToGrid w:val="0"/>
                    <w:spacing w:line="300" w:lineRule="auto"/>
                    <w:ind w:left="0" w:leftChars="0" w:firstLine="0" w:firstLineChars="0"/>
                    <w:jc w:val="center"/>
                    <w:rPr>
                      <w:sz w:val="21"/>
                      <w:szCs w:val="21"/>
                    </w:rPr>
                  </w:pPr>
                </w:p>
              </w:tc>
              <w:tc>
                <w:tcPr>
                  <w:tcW w:w="1134" w:type="dxa"/>
                  <w:vAlign w:val="center"/>
                </w:tcPr>
                <w:p>
                  <w:pPr>
                    <w:adjustRightInd w:val="0"/>
                    <w:snapToGrid w:val="0"/>
                    <w:spacing w:line="300" w:lineRule="auto"/>
                    <w:jc w:val="center"/>
                    <w:rPr>
                      <w:szCs w:val="21"/>
                    </w:rPr>
                  </w:pPr>
                  <w:r>
                    <w:rPr>
                      <w:szCs w:val="21"/>
                    </w:rPr>
                    <w:t>NO</w:t>
                  </w:r>
                  <w:r>
                    <w:rPr>
                      <w:szCs w:val="21"/>
                      <w:vertAlign w:val="subscript"/>
                    </w:rPr>
                    <w:t>X</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2.65</w:t>
                  </w:r>
                </w:p>
              </w:tc>
              <w:tc>
                <w:tcPr>
                  <w:tcW w:w="1134"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0.18</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2.47</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-2.47</w:t>
                  </w:r>
                </w:p>
              </w:tc>
              <w:tc>
                <w:tcPr>
                  <w:tcW w:w="1559"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固废</w:t>
                  </w:r>
                </w:p>
              </w:tc>
              <w:tc>
                <w:tcPr>
                  <w:tcW w:w="1134" w:type="dxa"/>
                  <w:vAlign w:val="center"/>
                </w:tcPr>
                <w:p>
                  <w:pPr>
                    <w:adjustRightInd w:val="0"/>
                    <w:snapToGrid w:val="0"/>
                    <w:spacing w:line="300" w:lineRule="auto"/>
                    <w:jc w:val="center"/>
                    <w:rPr>
                      <w:szCs w:val="21"/>
                    </w:rPr>
                  </w:pPr>
                  <w:r>
                    <w:rPr>
                      <w:rFonts w:hint="eastAsia"/>
                      <w:szCs w:val="21"/>
                    </w:rPr>
                    <w:t>炉渣</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43.5</w:t>
                  </w:r>
                </w:p>
              </w:tc>
              <w:tc>
                <w:tcPr>
                  <w:tcW w:w="1134"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0</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43.5</w:t>
                  </w:r>
                </w:p>
              </w:tc>
              <w:tc>
                <w:tcPr>
                  <w:tcW w:w="1276"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w:t>
                  </w:r>
                  <w:r>
                    <w:rPr>
                      <w:sz w:val="21"/>
                      <w:szCs w:val="21"/>
                    </w:rPr>
                    <w:t>43.5</w:t>
                  </w:r>
                </w:p>
              </w:tc>
              <w:tc>
                <w:tcPr>
                  <w:tcW w:w="1559" w:type="dxa"/>
                  <w:vAlign w:val="center"/>
                </w:tcPr>
                <w:p>
                  <w:pPr>
                    <w:pStyle w:val="2"/>
                    <w:adjustRightInd w:val="0"/>
                    <w:snapToGrid w:val="0"/>
                    <w:spacing w:line="300" w:lineRule="auto"/>
                    <w:ind w:left="0" w:leftChars="0" w:firstLine="0" w:firstLineChars="0"/>
                    <w:jc w:val="center"/>
                    <w:rPr>
                      <w:sz w:val="21"/>
                      <w:szCs w:val="21"/>
                    </w:rPr>
                  </w:pPr>
                  <w:r>
                    <w:rPr>
                      <w:rFonts w:hint="eastAsia"/>
                      <w:sz w:val="21"/>
                      <w:szCs w:val="21"/>
                    </w:rPr>
                    <w:t>0</w:t>
                  </w:r>
                </w:p>
              </w:tc>
            </w:tr>
          </w:tbl>
          <w:p>
            <w:pPr>
              <w:ind w:firstLine="434" w:firstLineChars="206"/>
              <w:rPr>
                <w:b/>
              </w:rPr>
            </w:pPr>
          </w:p>
        </w:tc>
      </w:tr>
    </w:tbl>
    <w:p>
      <w:pPr>
        <w:pStyle w:val="3"/>
        <w:spacing w:before="0" w:after="0" w:line="240" w:lineRule="auto"/>
        <w:rPr>
          <w:rFonts w:ascii="Times New Roman"/>
          <w:b w:val="0"/>
          <w:sz w:val="28"/>
          <w:szCs w:val="28"/>
        </w:rPr>
      </w:pPr>
      <w:bookmarkStart w:id="27" w:name="_Toc5113212"/>
      <w:bookmarkStart w:id="28" w:name="_Toc4240"/>
      <w:r>
        <w:rPr>
          <w:rFonts w:ascii="Times New Roman"/>
          <w:sz w:val="28"/>
          <w:szCs w:val="28"/>
        </w:rPr>
        <w:t>项目主要污染物产生及预计排放量情况</w:t>
      </w:r>
      <w:bookmarkEnd w:id="27"/>
      <w:bookmarkEnd w:id="28"/>
    </w:p>
    <w:tbl>
      <w:tblPr>
        <w:tblStyle w:val="25"/>
        <w:tblW w:w="928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3"/>
        <w:gridCol w:w="1900"/>
        <w:gridCol w:w="1218"/>
        <w:gridCol w:w="2410"/>
        <w:gridCol w:w="25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43" w:type="dxa"/>
            <w:tcBorders>
              <w:top w:val="single" w:color="auto" w:sz="4" w:space="0"/>
              <w:left w:val="single" w:color="auto" w:sz="4" w:space="0"/>
              <w:bottom w:val="single" w:color="auto" w:sz="4" w:space="0"/>
              <w:right w:val="single" w:color="auto" w:sz="4" w:space="0"/>
              <w:tl2br w:val="single" w:color="auto" w:sz="4" w:space="0"/>
            </w:tcBorders>
            <w:shd w:val="pct10" w:color="auto" w:fill="auto"/>
            <w:vAlign w:val="center"/>
          </w:tcPr>
          <w:p>
            <w:pPr>
              <w:spacing w:line="360" w:lineRule="auto"/>
              <w:jc w:val="center"/>
              <w:rPr>
                <w:b/>
                <w:sz w:val="24"/>
              </w:rPr>
            </w:pPr>
            <w:r>
              <w:rPr>
                <w:b/>
                <w:sz w:val="24"/>
              </w:rPr>
              <w:t>内容</w:t>
            </w:r>
          </w:p>
          <w:p>
            <w:pPr>
              <w:spacing w:line="360" w:lineRule="auto"/>
              <w:rPr>
                <w:b/>
                <w:sz w:val="24"/>
              </w:rPr>
            </w:pPr>
            <w:r>
              <w:rPr>
                <w:b/>
                <w:sz w:val="24"/>
              </w:rPr>
              <w:t>类型</w:t>
            </w:r>
          </w:p>
        </w:tc>
        <w:tc>
          <w:tcPr>
            <w:tcW w:w="1900" w:type="dxa"/>
            <w:tcBorders>
              <w:top w:val="single" w:color="auto" w:sz="4" w:space="0"/>
              <w:left w:val="single" w:color="auto" w:sz="4" w:space="0"/>
              <w:bottom w:val="single" w:color="auto" w:sz="6" w:space="0"/>
              <w:right w:val="single" w:color="auto" w:sz="4" w:space="0"/>
            </w:tcBorders>
            <w:shd w:val="pct10" w:color="auto" w:fill="auto"/>
            <w:vAlign w:val="center"/>
          </w:tcPr>
          <w:p>
            <w:pPr>
              <w:spacing w:line="360" w:lineRule="auto"/>
              <w:jc w:val="center"/>
              <w:rPr>
                <w:b/>
                <w:sz w:val="24"/>
              </w:rPr>
            </w:pPr>
            <w:r>
              <w:rPr>
                <w:b/>
                <w:sz w:val="24"/>
              </w:rPr>
              <w:t>排放源</w:t>
            </w:r>
          </w:p>
        </w:tc>
        <w:tc>
          <w:tcPr>
            <w:tcW w:w="1218" w:type="dxa"/>
            <w:tcBorders>
              <w:top w:val="single" w:color="auto" w:sz="4" w:space="0"/>
              <w:left w:val="single" w:color="auto" w:sz="4" w:space="0"/>
              <w:bottom w:val="single" w:color="auto" w:sz="4" w:space="0"/>
              <w:right w:val="single" w:color="auto" w:sz="4" w:space="0"/>
            </w:tcBorders>
            <w:shd w:val="pct10" w:color="auto" w:fill="auto"/>
            <w:vAlign w:val="center"/>
          </w:tcPr>
          <w:p>
            <w:pPr>
              <w:spacing w:line="360" w:lineRule="auto"/>
              <w:jc w:val="center"/>
              <w:rPr>
                <w:b/>
                <w:sz w:val="24"/>
              </w:rPr>
            </w:pPr>
            <w:r>
              <w:rPr>
                <w:b/>
                <w:sz w:val="24"/>
              </w:rPr>
              <w:t>污染物</w:t>
            </w:r>
          </w:p>
          <w:p>
            <w:pPr>
              <w:spacing w:line="360" w:lineRule="auto"/>
              <w:jc w:val="center"/>
              <w:rPr>
                <w:b/>
                <w:sz w:val="24"/>
              </w:rPr>
            </w:pPr>
            <w:r>
              <w:rPr>
                <w:b/>
                <w:sz w:val="24"/>
              </w:rPr>
              <w:t>名称</w:t>
            </w:r>
          </w:p>
        </w:tc>
        <w:tc>
          <w:tcPr>
            <w:tcW w:w="2410" w:type="dxa"/>
            <w:tcBorders>
              <w:top w:val="single" w:color="auto" w:sz="4" w:space="0"/>
              <w:left w:val="single" w:color="auto" w:sz="4" w:space="0"/>
              <w:bottom w:val="single" w:color="auto" w:sz="4" w:space="0"/>
              <w:right w:val="single" w:color="auto" w:sz="4" w:space="0"/>
            </w:tcBorders>
            <w:shd w:val="pct10" w:color="auto" w:fill="auto"/>
            <w:vAlign w:val="center"/>
          </w:tcPr>
          <w:p>
            <w:pPr>
              <w:spacing w:line="360" w:lineRule="auto"/>
              <w:jc w:val="center"/>
              <w:rPr>
                <w:b/>
                <w:sz w:val="24"/>
              </w:rPr>
            </w:pPr>
            <w:r>
              <w:rPr>
                <w:b/>
                <w:sz w:val="24"/>
              </w:rPr>
              <w:t>处理前产生浓度</w:t>
            </w:r>
          </w:p>
          <w:p>
            <w:pPr>
              <w:spacing w:line="360" w:lineRule="auto"/>
              <w:jc w:val="center"/>
              <w:rPr>
                <w:b/>
                <w:sz w:val="24"/>
              </w:rPr>
            </w:pPr>
            <w:r>
              <w:rPr>
                <w:b/>
                <w:sz w:val="24"/>
              </w:rPr>
              <w:t>及产生量</w:t>
            </w:r>
          </w:p>
        </w:tc>
        <w:tc>
          <w:tcPr>
            <w:tcW w:w="2515" w:type="dxa"/>
            <w:tcBorders>
              <w:top w:val="single" w:color="auto" w:sz="4" w:space="0"/>
              <w:left w:val="single" w:color="auto" w:sz="4" w:space="0"/>
              <w:bottom w:val="single" w:color="auto" w:sz="4" w:space="0"/>
              <w:right w:val="single" w:color="auto" w:sz="4" w:space="0"/>
            </w:tcBorders>
            <w:shd w:val="pct10" w:color="auto" w:fill="auto"/>
            <w:vAlign w:val="center"/>
          </w:tcPr>
          <w:p>
            <w:pPr>
              <w:spacing w:line="360" w:lineRule="auto"/>
              <w:jc w:val="center"/>
              <w:rPr>
                <w:b/>
                <w:sz w:val="24"/>
              </w:rPr>
            </w:pPr>
            <w:r>
              <w:rPr>
                <w:b/>
                <w:sz w:val="24"/>
              </w:rPr>
              <w:t>处理后排放浓度</w:t>
            </w:r>
          </w:p>
          <w:p>
            <w:pPr>
              <w:spacing w:line="360" w:lineRule="auto"/>
              <w:jc w:val="center"/>
              <w:rPr>
                <w:b/>
                <w:sz w:val="24"/>
              </w:rPr>
            </w:pPr>
            <w:r>
              <w:rPr>
                <w:b/>
                <w:sz w:val="24"/>
              </w:rPr>
              <w:t>及排放量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43" w:type="dxa"/>
            <w:vMerge w:val="restart"/>
            <w:tcBorders>
              <w:top w:val="single" w:color="auto" w:sz="4" w:space="0"/>
              <w:left w:val="single" w:color="auto" w:sz="4" w:space="0"/>
              <w:right w:val="single" w:color="auto" w:sz="6" w:space="0"/>
            </w:tcBorders>
            <w:vAlign w:val="center"/>
          </w:tcPr>
          <w:p>
            <w:pPr>
              <w:spacing w:line="360" w:lineRule="auto"/>
              <w:jc w:val="center"/>
              <w:rPr>
                <w:sz w:val="24"/>
              </w:rPr>
            </w:pPr>
            <w:r>
              <w:rPr>
                <w:sz w:val="24"/>
              </w:rPr>
              <w:t>大气</w:t>
            </w:r>
          </w:p>
          <w:p>
            <w:pPr>
              <w:spacing w:line="360" w:lineRule="auto"/>
              <w:jc w:val="center"/>
              <w:rPr>
                <w:sz w:val="24"/>
              </w:rPr>
            </w:pPr>
            <w:r>
              <w:rPr>
                <w:sz w:val="24"/>
              </w:rPr>
              <w:t>污染物</w:t>
            </w:r>
          </w:p>
        </w:tc>
        <w:tc>
          <w:tcPr>
            <w:tcW w:w="1900" w:type="dxa"/>
            <w:vMerge w:val="restart"/>
            <w:tcBorders>
              <w:top w:val="single" w:color="auto" w:sz="6" w:space="0"/>
              <w:left w:val="single" w:color="auto" w:sz="6" w:space="0"/>
              <w:right w:val="single" w:color="auto" w:sz="6" w:space="0"/>
            </w:tcBorders>
            <w:vAlign w:val="center"/>
          </w:tcPr>
          <w:p>
            <w:pPr>
              <w:spacing w:line="360" w:lineRule="auto"/>
              <w:jc w:val="center"/>
              <w:rPr>
                <w:sz w:val="24"/>
              </w:rPr>
            </w:pPr>
            <w:r>
              <w:rPr>
                <w:rFonts w:hint="eastAsia"/>
                <w:sz w:val="24"/>
              </w:rPr>
              <w:t>燃气锅炉</w:t>
            </w:r>
          </w:p>
        </w:tc>
        <w:tc>
          <w:tcPr>
            <w:tcW w:w="1218" w:type="dxa"/>
            <w:tcBorders>
              <w:top w:val="single" w:color="auto" w:sz="4" w:space="0"/>
              <w:left w:val="single" w:color="auto" w:sz="6" w:space="0"/>
              <w:right w:val="single" w:color="auto" w:sz="4" w:space="0"/>
            </w:tcBorders>
            <w:vAlign w:val="center"/>
          </w:tcPr>
          <w:p>
            <w:pPr>
              <w:spacing w:line="360" w:lineRule="auto"/>
              <w:ind w:firstLine="8"/>
              <w:jc w:val="center"/>
              <w:rPr>
                <w:sz w:val="24"/>
              </w:rPr>
            </w:pPr>
            <w:r>
              <w:rPr>
                <w:rFonts w:hint="eastAsia"/>
                <w:sz w:val="24"/>
              </w:rPr>
              <w:t>烟气量</w:t>
            </w:r>
          </w:p>
        </w:tc>
        <w:tc>
          <w:tcPr>
            <w:tcW w:w="2410" w:type="dxa"/>
            <w:tcBorders>
              <w:top w:val="single" w:color="auto" w:sz="4" w:space="0"/>
              <w:left w:val="single" w:color="auto" w:sz="4" w:space="0"/>
              <w:right w:val="single" w:color="auto" w:sz="4" w:space="0"/>
            </w:tcBorders>
            <w:vAlign w:val="center"/>
          </w:tcPr>
          <w:p>
            <w:pPr>
              <w:spacing w:line="360" w:lineRule="auto"/>
              <w:jc w:val="center"/>
              <w:rPr>
                <w:sz w:val="24"/>
              </w:rPr>
            </w:pPr>
            <w:r>
              <w:rPr>
                <w:rFonts w:hint="eastAsia"/>
                <w:sz w:val="24"/>
              </w:rPr>
              <w:t>613.17</w:t>
            </w:r>
            <w:r>
              <w:rPr>
                <w:sz w:val="24"/>
              </w:rPr>
              <w:t>万m</w:t>
            </w:r>
            <w:r>
              <w:rPr>
                <w:sz w:val="24"/>
                <w:vertAlign w:val="superscript"/>
              </w:rPr>
              <w:t>3</w:t>
            </w:r>
            <w:r>
              <w:rPr>
                <w:sz w:val="24"/>
              </w:rPr>
              <w:t>/a</w:t>
            </w:r>
          </w:p>
        </w:tc>
        <w:tc>
          <w:tcPr>
            <w:tcW w:w="25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rFonts w:hint="eastAsia"/>
                <w:sz w:val="24"/>
              </w:rPr>
              <w:t>613.17</w:t>
            </w:r>
            <w:r>
              <w:rPr>
                <w:sz w:val="24"/>
              </w:rPr>
              <w:t>万m</w:t>
            </w:r>
            <w:r>
              <w:rPr>
                <w:sz w:val="24"/>
                <w:vertAlign w:val="superscript"/>
              </w:rPr>
              <w:t>3</w:t>
            </w:r>
            <w:r>
              <w:rPr>
                <w:sz w:val="24"/>
              </w:rPr>
              <w:t>/a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43" w:type="dxa"/>
            <w:vMerge w:val="continue"/>
            <w:tcBorders>
              <w:top w:val="single" w:color="auto" w:sz="4" w:space="0"/>
              <w:left w:val="single" w:color="auto" w:sz="4" w:space="0"/>
              <w:right w:val="single" w:color="auto" w:sz="6" w:space="0"/>
            </w:tcBorders>
            <w:vAlign w:val="center"/>
          </w:tcPr>
          <w:p>
            <w:pPr>
              <w:spacing w:line="360" w:lineRule="auto"/>
              <w:jc w:val="center"/>
              <w:rPr>
                <w:sz w:val="24"/>
              </w:rPr>
            </w:pPr>
          </w:p>
        </w:tc>
        <w:tc>
          <w:tcPr>
            <w:tcW w:w="1900" w:type="dxa"/>
            <w:vMerge w:val="continue"/>
            <w:tcBorders>
              <w:left w:val="single" w:color="auto" w:sz="6" w:space="0"/>
              <w:right w:val="single" w:color="auto" w:sz="6" w:space="0"/>
            </w:tcBorders>
            <w:vAlign w:val="center"/>
          </w:tcPr>
          <w:p>
            <w:pPr>
              <w:spacing w:line="360" w:lineRule="auto"/>
              <w:jc w:val="center"/>
              <w:rPr>
                <w:sz w:val="24"/>
              </w:rPr>
            </w:pPr>
          </w:p>
        </w:tc>
        <w:tc>
          <w:tcPr>
            <w:tcW w:w="1218" w:type="dxa"/>
            <w:tcBorders>
              <w:top w:val="single" w:color="auto" w:sz="4" w:space="0"/>
              <w:left w:val="single" w:color="auto" w:sz="6" w:space="0"/>
              <w:right w:val="single" w:color="auto" w:sz="4" w:space="0"/>
            </w:tcBorders>
            <w:vAlign w:val="center"/>
          </w:tcPr>
          <w:p>
            <w:pPr>
              <w:spacing w:line="360" w:lineRule="auto"/>
              <w:jc w:val="center"/>
              <w:rPr>
                <w:sz w:val="24"/>
              </w:rPr>
            </w:pPr>
            <w:r>
              <w:rPr>
                <w:sz w:val="24"/>
              </w:rPr>
              <w:t>颗粒物</w:t>
            </w:r>
          </w:p>
        </w:tc>
        <w:tc>
          <w:tcPr>
            <w:tcW w:w="2410" w:type="dxa"/>
            <w:tcBorders>
              <w:top w:val="single" w:color="auto" w:sz="4" w:space="0"/>
              <w:left w:val="single" w:color="auto" w:sz="4" w:space="0"/>
              <w:right w:val="single" w:color="auto" w:sz="4" w:space="0"/>
            </w:tcBorders>
            <w:vAlign w:val="center"/>
          </w:tcPr>
          <w:p>
            <w:pPr>
              <w:spacing w:line="360" w:lineRule="auto"/>
              <w:ind w:firstLine="8"/>
              <w:jc w:val="center"/>
              <w:rPr>
                <w:sz w:val="24"/>
              </w:rPr>
            </w:pPr>
            <w:r>
              <w:rPr>
                <w:rFonts w:hint="eastAsia"/>
                <w:sz w:val="24"/>
              </w:rPr>
              <w:t>3.2mg/m</w:t>
            </w:r>
            <w:r>
              <w:rPr>
                <w:rFonts w:hint="eastAsia"/>
                <w:sz w:val="24"/>
                <w:vertAlign w:val="superscript"/>
              </w:rPr>
              <w:t>3</w:t>
            </w:r>
            <w:r>
              <w:rPr>
                <w:rFonts w:hint="eastAsia"/>
                <w:sz w:val="24"/>
              </w:rPr>
              <w:t>，0.0196t/a</w:t>
            </w:r>
          </w:p>
        </w:tc>
        <w:tc>
          <w:tcPr>
            <w:tcW w:w="2515" w:type="dxa"/>
            <w:tcBorders>
              <w:top w:val="single" w:color="auto" w:sz="4" w:space="0"/>
              <w:left w:val="single" w:color="auto" w:sz="4" w:space="0"/>
              <w:right w:val="single" w:color="auto" w:sz="4" w:space="0"/>
            </w:tcBorders>
            <w:vAlign w:val="center"/>
          </w:tcPr>
          <w:p>
            <w:pPr>
              <w:spacing w:line="360" w:lineRule="auto"/>
              <w:ind w:firstLine="8"/>
              <w:jc w:val="center"/>
              <w:rPr>
                <w:sz w:val="24"/>
              </w:rPr>
            </w:pPr>
            <w:r>
              <w:rPr>
                <w:rFonts w:hint="eastAsia"/>
                <w:sz w:val="24"/>
              </w:rPr>
              <w:t>3.2mg/m</w:t>
            </w:r>
            <w:r>
              <w:rPr>
                <w:rFonts w:hint="eastAsia"/>
                <w:sz w:val="24"/>
                <w:vertAlign w:val="superscript"/>
              </w:rPr>
              <w:t>3</w:t>
            </w:r>
            <w:r>
              <w:rPr>
                <w:rFonts w:hint="eastAsia"/>
                <w:sz w:val="24"/>
              </w:rPr>
              <w:t>，0.0196t/a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43" w:type="dxa"/>
            <w:vMerge w:val="continue"/>
            <w:tcBorders>
              <w:top w:val="single" w:color="auto" w:sz="4" w:space="0"/>
              <w:left w:val="single" w:color="auto" w:sz="4" w:space="0"/>
              <w:right w:val="single" w:color="auto" w:sz="6" w:space="0"/>
            </w:tcBorders>
            <w:vAlign w:val="center"/>
          </w:tcPr>
          <w:p>
            <w:pPr>
              <w:spacing w:line="360" w:lineRule="auto"/>
              <w:jc w:val="center"/>
              <w:rPr>
                <w:sz w:val="24"/>
              </w:rPr>
            </w:pPr>
          </w:p>
        </w:tc>
        <w:tc>
          <w:tcPr>
            <w:tcW w:w="1900" w:type="dxa"/>
            <w:vMerge w:val="continue"/>
            <w:tcBorders>
              <w:left w:val="single" w:color="auto" w:sz="6" w:space="0"/>
              <w:right w:val="single" w:color="auto" w:sz="6" w:space="0"/>
            </w:tcBorders>
            <w:vAlign w:val="center"/>
          </w:tcPr>
          <w:p>
            <w:pPr>
              <w:spacing w:line="360" w:lineRule="auto"/>
              <w:jc w:val="center"/>
              <w:rPr>
                <w:sz w:val="24"/>
              </w:rPr>
            </w:pPr>
          </w:p>
        </w:tc>
        <w:tc>
          <w:tcPr>
            <w:tcW w:w="1218" w:type="dxa"/>
            <w:tcBorders>
              <w:top w:val="single" w:color="auto" w:sz="4" w:space="0"/>
              <w:left w:val="single" w:color="auto" w:sz="6" w:space="0"/>
              <w:right w:val="single" w:color="auto" w:sz="4" w:space="0"/>
            </w:tcBorders>
            <w:vAlign w:val="center"/>
          </w:tcPr>
          <w:p>
            <w:pPr>
              <w:spacing w:line="360" w:lineRule="auto"/>
              <w:jc w:val="center"/>
              <w:rPr>
                <w:sz w:val="24"/>
              </w:rPr>
            </w:pPr>
            <w:r>
              <w:rPr>
                <w:sz w:val="24"/>
              </w:rPr>
              <w:t>SO</w:t>
            </w:r>
            <w:r>
              <w:rPr>
                <w:sz w:val="24"/>
                <w:vertAlign w:val="subscript"/>
              </w:rPr>
              <w:t>2</w:t>
            </w:r>
          </w:p>
        </w:tc>
        <w:tc>
          <w:tcPr>
            <w:tcW w:w="2410" w:type="dxa"/>
            <w:tcBorders>
              <w:top w:val="single" w:color="auto" w:sz="4" w:space="0"/>
              <w:left w:val="single" w:color="auto" w:sz="4" w:space="0"/>
              <w:right w:val="single" w:color="auto" w:sz="4" w:space="0"/>
            </w:tcBorders>
            <w:vAlign w:val="center"/>
          </w:tcPr>
          <w:p>
            <w:pPr>
              <w:spacing w:line="360" w:lineRule="auto"/>
              <w:ind w:firstLine="8"/>
              <w:rPr>
                <w:sz w:val="24"/>
              </w:rPr>
            </w:pPr>
            <w:r>
              <w:rPr>
                <w:rFonts w:hint="eastAsia"/>
                <w:sz w:val="24"/>
              </w:rPr>
              <w:t>2.94 mg/m</w:t>
            </w:r>
            <w:r>
              <w:rPr>
                <w:rFonts w:hint="eastAsia"/>
                <w:sz w:val="24"/>
                <w:vertAlign w:val="superscript"/>
              </w:rPr>
              <w:t>3</w:t>
            </w:r>
            <w:r>
              <w:rPr>
                <w:rFonts w:hint="eastAsia"/>
                <w:sz w:val="24"/>
              </w:rPr>
              <w:t>，0.018t/a</w:t>
            </w:r>
          </w:p>
        </w:tc>
        <w:tc>
          <w:tcPr>
            <w:tcW w:w="2515" w:type="dxa"/>
            <w:tcBorders>
              <w:top w:val="single" w:color="auto" w:sz="4" w:space="0"/>
              <w:left w:val="single" w:color="auto" w:sz="4" w:space="0"/>
              <w:bottom w:val="single" w:color="auto" w:sz="4" w:space="0"/>
              <w:right w:val="single" w:color="auto" w:sz="4" w:space="0"/>
            </w:tcBorders>
            <w:vAlign w:val="center"/>
          </w:tcPr>
          <w:p>
            <w:pPr>
              <w:spacing w:line="360" w:lineRule="auto"/>
              <w:ind w:firstLine="8"/>
              <w:rPr>
                <w:sz w:val="24"/>
              </w:rPr>
            </w:pPr>
            <w:r>
              <w:rPr>
                <w:rFonts w:hint="eastAsia"/>
                <w:sz w:val="24"/>
              </w:rPr>
              <w:t>2.94 mg/m</w:t>
            </w:r>
            <w:r>
              <w:rPr>
                <w:rFonts w:hint="eastAsia"/>
                <w:sz w:val="24"/>
                <w:vertAlign w:val="superscript"/>
              </w:rPr>
              <w:t>3</w:t>
            </w:r>
            <w:r>
              <w:rPr>
                <w:rFonts w:hint="eastAsia"/>
                <w:sz w:val="24"/>
              </w:rPr>
              <w:t>，0.018t/a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43" w:type="dxa"/>
            <w:vMerge w:val="continue"/>
            <w:tcBorders>
              <w:left w:val="single" w:color="auto" w:sz="4" w:space="0"/>
              <w:bottom w:val="single" w:color="auto" w:sz="4" w:space="0"/>
              <w:right w:val="single" w:color="auto" w:sz="6" w:space="0"/>
            </w:tcBorders>
            <w:vAlign w:val="center"/>
          </w:tcPr>
          <w:p>
            <w:pPr>
              <w:spacing w:line="360" w:lineRule="auto"/>
              <w:jc w:val="center"/>
              <w:rPr>
                <w:sz w:val="24"/>
              </w:rPr>
            </w:pPr>
          </w:p>
        </w:tc>
        <w:tc>
          <w:tcPr>
            <w:tcW w:w="1900" w:type="dxa"/>
            <w:vMerge w:val="continue"/>
            <w:tcBorders>
              <w:left w:val="single" w:color="auto" w:sz="6" w:space="0"/>
              <w:bottom w:val="single" w:color="auto" w:sz="4" w:space="0"/>
              <w:right w:val="single" w:color="auto" w:sz="6" w:space="0"/>
            </w:tcBorders>
            <w:vAlign w:val="center"/>
          </w:tcPr>
          <w:p>
            <w:pPr>
              <w:spacing w:line="360" w:lineRule="auto"/>
              <w:jc w:val="center"/>
              <w:rPr>
                <w:sz w:val="24"/>
              </w:rPr>
            </w:pPr>
          </w:p>
        </w:tc>
        <w:tc>
          <w:tcPr>
            <w:tcW w:w="1218" w:type="dxa"/>
            <w:tcBorders>
              <w:top w:val="single" w:color="auto" w:sz="4" w:space="0"/>
              <w:left w:val="single" w:color="auto" w:sz="6" w:space="0"/>
              <w:right w:val="single" w:color="auto" w:sz="4" w:space="0"/>
            </w:tcBorders>
            <w:vAlign w:val="center"/>
          </w:tcPr>
          <w:p>
            <w:pPr>
              <w:spacing w:line="360" w:lineRule="auto"/>
              <w:jc w:val="center"/>
              <w:rPr>
                <w:sz w:val="24"/>
              </w:rPr>
            </w:pPr>
            <w:r>
              <w:rPr>
                <w:sz w:val="24"/>
              </w:rPr>
              <w:t>NO</w:t>
            </w:r>
            <w:r>
              <w:rPr>
                <w:sz w:val="24"/>
                <w:vertAlign w:val="subscript"/>
              </w:rPr>
              <w:t>X</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ind w:firstLine="8"/>
              <w:jc w:val="center"/>
              <w:rPr>
                <w:sz w:val="24"/>
              </w:rPr>
            </w:pPr>
            <w:r>
              <w:rPr>
                <w:rFonts w:hint="eastAsia"/>
                <w:sz w:val="24"/>
              </w:rPr>
              <w:t>30 mg/m</w:t>
            </w:r>
            <w:r>
              <w:rPr>
                <w:rFonts w:hint="eastAsia"/>
                <w:sz w:val="24"/>
                <w:vertAlign w:val="superscript"/>
              </w:rPr>
              <w:t>3</w:t>
            </w:r>
            <w:r>
              <w:rPr>
                <w:rFonts w:hint="eastAsia"/>
                <w:sz w:val="24"/>
              </w:rPr>
              <w:t>，0.18t/a</w:t>
            </w:r>
          </w:p>
        </w:tc>
        <w:tc>
          <w:tcPr>
            <w:tcW w:w="2515" w:type="dxa"/>
            <w:tcBorders>
              <w:top w:val="single" w:color="auto" w:sz="4" w:space="0"/>
              <w:left w:val="single" w:color="auto" w:sz="4" w:space="0"/>
              <w:bottom w:val="single" w:color="auto" w:sz="4" w:space="0"/>
              <w:right w:val="single" w:color="auto" w:sz="4" w:space="0"/>
            </w:tcBorders>
            <w:vAlign w:val="center"/>
          </w:tcPr>
          <w:p>
            <w:pPr>
              <w:spacing w:line="360" w:lineRule="auto"/>
              <w:ind w:firstLine="8"/>
              <w:jc w:val="center"/>
              <w:rPr>
                <w:sz w:val="24"/>
              </w:rPr>
            </w:pPr>
            <w:r>
              <w:rPr>
                <w:rFonts w:hint="eastAsia"/>
                <w:sz w:val="24"/>
              </w:rPr>
              <w:t>30 mg/m</w:t>
            </w:r>
            <w:r>
              <w:rPr>
                <w:rFonts w:hint="eastAsia"/>
                <w:sz w:val="24"/>
                <w:vertAlign w:val="superscript"/>
              </w:rPr>
              <w:t>3</w:t>
            </w:r>
            <w:r>
              <w:rPr>
                <w:rFonts w:hint="eastAsia"/>
                <w:sz w:val="24"/>
              </w:rPr>
              <w:t>，0.18t/a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4" w:hRule="atLeast"/>
          <w:jc w:val="center"/>
        </w:trPr>
        <w:tc>
          <w:tcPr>
            <w:tcW w:w="1243" w:type="dxa"/>
            <w:tcBorders>
              <w:top w:val="single" w:color="auto" w:sz="4" w:space="0"/>
              <w:left w:val="single" w:color="auto" w:sz="4" w:space="0"/>
              <w:bottom w:val="single" w:color="auto" w:sz="4" w:space="0"/>
              <w:right w:val="single" w:color="auto" w:sz="6" w:space="0"/>
            </w:tcBorders>
            <w:vAlign w:val="center"/>
          </w:tcPr>
          <w:p>
            <w:pPr>
              <w:spacing w:line="360" w:lineRule="auto"/>
              <w:jc w:val="center"/>
              <w:rPr>
                <w:sz w:val="24"/>
              </w:rPr>
            </w:pPr>
            <w:r>
              <w:rPr>
                <w:sz w:val="24"/>
              </w:rPr>
              <w:t>水污染物</w:t>
            </w:r>
          </w:p>
        </w:tc>
        <w:tc>
          <w:tcPr>
            <w:tcW w:w="8043" w:type="dxa"/>
            <w:gridSpan w:val="4"/>
            <w:tcBorders>
              <w:top w:val="single" w:color="auto" w:sz="4" w:space="0"/>
              <w:left w:val="single" w:color="auto" w:sz="6" w:space="0"/>
              <w:bottom w:val="single" w:color="auto" w:sz="6" w:space="0"/>
              <w:right w:val="single" w:color="auto" w:sz="4" w:space="0"/>
            </w:tcBorders>
            <w:vAlign w:val="center"/>
          </w:tcPr>
          <w:p>
            <w:pPr>
              <w:jc w:val="center"/>
              <w:rPr>
                <w:sz w:val="24"/>
              </w:rPr>
            </w:pPr>
            <w:r>
              <w:rPr>
                <w:rFonts w:hint="eastAsia"/>
                <w:sz w:val="24"/>
              </w:rPr>
              <w:t>本项目不新增生活污水，锅炉排水与软化废水直接排入市政管网。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243" w:type="dxa"/>
            <w:tcBorders>
              <w:top w:val="single" w:color="auto" w:sz="4" w:space="0"/>
              <w:left w:val="single" w:color="auto" w:sz="4" w:space="0"/>
              <w:right w:val="single" w:color="auto" w:sz="4" w:space="0"/>
            </w:tcBorders>
            <w:vAlign w:val="center"/>
          </w:tcPr>
          <w:p>
            <w:pPr>
              <w:spacing w:line="360" w:lineRule="auto"/>
              <w:jc w:val="center"/>
              <w:rPr>
                <w:sz w:val="24"/>
              </w:rPr>
            </w:pPr>
            <w:r>
              <w:rPr>
                <w:sz w:val="24"/>
              </w:rPr>
              <w:t>固体</w:t>
            </w:r>
          </w:p>
          <w:p>
            <w:pPr>
              <w:spacing w:line="360" w:lineRule="auto"/>
              <w:jc w:val="center"/>
              <w:rPr>
                <w:sz w:val="24"/>
              </w:rPr>
            </w:pPr>
            <w:r>
              <w:rPr>
                <w:sz w:val="24"/>
              </w:rPr>
              <w:t>废物</w:t>
            </w:r>
          </w:p>
        </w:tc>
        <w:tc>
          <w:tcPr>
            <w:tcW w:w="1900" w:type="dxa"/>
            <w:tcBorders>
              <w:top w:val="single" w:color="auto" w:sz="4" w:space="0"/>
              <w:left w:val="single" w:color="auto" w:sz="4" w:space="0"/>
              <w:right w:val="single" w:color="auto" w:sz="4" w:space="0"/>
            </w:tcBorders>
            <w:vAlign w:val="center"/>
          </w:tcPr>
          <w:p>
            <w:pPr>
              <w:spacing w:line="360" w:lineRule="auto"/>
              <w:jc w:val="center"/>
              <w:rPr>
                <w:b/>
                <w:sz w:val="24"/>
              </w:rPr>
            </w:pPr>
            <w:r>
              <w:rPr>
                <w:rFonts w:hint="eastAsia"/>
                <w:sz w:val="24"/>
              </w:rPr>
              <w:t>软化水制备系统</w:t>
            </w:r>
          </w:p>
        </w:tc>
        <w:tc>
          <w:tcPr>
            <w:tcW w:w="121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废离子交换树脂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4"/>
              </w:rPr>
            </w:pPr>
            <w:r>
              <w:rPr>
                <w:rFonts w:hint="eastAsia"/>
                <w:kern w:val="0"/>
                <w:sz w:val="24"/>
                <w:u w:color="000000"/>
              </w:rPr>
              <w:t>/</w:t>
            </w:r>
          </w:p>
        </w:tc>
        <w:tc>
          <w:tcPr>
            <w:tcW w:w="2515"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48"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spacing w:line="360" w:lineRule="auto"/>
              <w:ind w:right="-40"/>
              <w:jc w:val="center"/>
              <w:rPr>
                <w:sz w:val="24"/>
              </w:rPr>
            </w:pPr>
            <w:r>
              <w:rPr>
                <w:sz w:val="24"/>
              </w:rPr>
              <w:t>噪声</w:t>
            </w:r>
          </w:p>
        </w:tc>
        <w:tc>
          <w:tcPr>
            <w:tcW w:w="8043" w:type="dxa"/>
            <w:gridSpan w:val="4"/>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本项目噪声主要为风机、水泵等设备运行过程中产生的噪声，采取噪声治理措施后，不会对声环境质量造成明显影响。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286" w:type="dxa"/>
            <w:gridSpan w:val="5"/>
            <w:tcBorders>
              <w:top w:val="single" w:color="auto" w:sz="4" w:space="0"/>
              <w:left w:val="single" w:color="auto" w:sz="4" w:space="0"/>
              <w:bottom w:val="single" w:color="auto" w:sz="4" w:space="0"/>
              <w:right w:val="single" w:color="auto" w:sz="4" w:space="0"/>
            </w:tcBorders>
          </w:tcPr>
          <w:p>
            <w:pPr>
              <w:spacing w:before="156" w:beforeLines="50" w:line="360" w:lineRule="auto"/>
              <w:rPr>
                <w:b/>
                <w:sz w:val="24"/>
              </w:rPr>
            </w:pPr>
            <w:r>
              <w:rPr>
                <w:b/>
                <w:sz w:val="24"/>
              </w:rPr>
              <w:t>主要生态影响：</w:t>
            </w:r>
          </w:p>
          <w:p>
            <w:pPr>
              <w:spacing w:line="360" w:lineRule="auto"/>
              <w:ind w:firstLine="480" w:firstLineChars="200"/>
              <w:rPr>
                <w:sz w:val="24"/>
              </w:rPr>
            </w:pPr>
            <w:r>
              <w:rPr>
                <w:rFonts w:hint="eastAsia"/>
                <w:sz w:val="24"/>
              </w:rPr>
              <w:t>本项目在酒店原有锅炉房内建设，不新增建设用地，运营期项目废气排放达标，本项目对生态环境影响很小</w:t>
            </w:r>
            <w:r>
              <w:rPr>
                <w:sz w:val="24"/>
              </w:rPr>
              <w:t>。</w:t>
            </w:r>
          </w:p>
          <w:p>
            <w:pPr>
              <w:spacing w:line="360" w:lineRule="auto"/>
              <w:ind w:firstLine="600" w:firstLineChars="250"/>
              <w:rPr>
                <w:sz w:val="24"/>
              </w:rPr>
            </w:pPr>
          </w:p>
          <w:p>
            <w:pPr>
              <w:pStyle w:val="2"/>
            </w:pPr>
          </w:p>
          <w:p>
            <w:pPr>
              <w:pStyle w:val="2"/>
            </w:pPr>
          </w:p>
          <w:p>
            <w:pPr>
              <w:pStyle w:val="2"/>
            </w:pPr>
          </w:p>
          <w:p>
            <w:pPr>
              <w:pStyle w:val="2"/>
            </w:pPr>
          </w:p>
          <w:p>
            <w:pPr>
              <w:spacing w:line="360" w:lineRule="auto"/>
              <w:ind w:firstLine="600" w:firstLineChars="250"/>
              <w:rPr>
                <w:sz w:val="24"/>
              </w:rPr>
            </w:pPr>
          </w:p>
          <w:p>
            <w:pPr>
              <w:spacing w:line="360" w:lineRule="auto"/>
              <w:ind w:firstLine="600" w:firstLineChars="250"/>
              <w:rPr>
                <w:sz w:val="24"/>
              </w:rPr>
            </w:pPr>
          </w:p>
          <w:p>
            <w:pPr>
              <w:spacing w:line="360" w:lineRule="auto"/>
              <w:ind w:firstLine="600" w:firstLineChars="250"/>
              <w:rPr>
                <w:sz w:val="24"/>
              </w:rPr>
            </w:pPr>
          </w:p>
          <w:p>
            <w:pPr>
              <w:spacing w:line="360" w:lineRule="auto"/>
              <w:ind w:firstLine="600" w:firstLineChars="250"/>
              <w:rPr>
                <w:sz w:val="24"/>
              </w:rPr>
            </w:pPr>
          </w:p>
          <w:p>
            <w:pPr>
              <w:spacing w:line="360" w:lineRule="auto"/>
              <w:rPr>
                <w:sz w:val="24"/>
              </w:rPr>
            </w:pPr>
          </w:p>
        </w:tc>
      </w:tr>
    </w:tbl>
    <w:p>
      <w:pPr>
        <w:pStyle w:val="3"/>
        <w:spacing w:before="0" w:after="0" w:line="240" w:lineRule="auto"/>
        <w:rPr>
          <w:rFonts w:ascii="Times New Roman"/>
          <w:b w:val="0"/>
          <w:sz w:val="28"/>
          <w:szCs w:val="28"/>
        </w:rPr>
      </w:pPr>
      <w:bookmarkStart w:id="29" w:name="_Toc5113213"/>
      <w:bookmarkStart w:id="30" w:name="_Toc15092"/>
      <w:r>
        <w:rPr>
          <w:rFonts w:ascii="Times New Roman"/>
          <w:sz w:val="28"/>
          <w:szCs w:val="28"/>
        </w:rPr>
        <w:t>环境影响分析</w:t>
      </w:r>
      <w:bookmarkEnd w:id="29"/>
      <w:bookmarkEnd w:id="30"/>
    </w:p>
    <w:tbl>
      <w:tblPr>
        <w:tblStyle w:val="25"/>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00" w:hRule="atLeast"/>
          <w:jc w:val="center"/>
        </w:trPr>
        <w:tc>
          <w:tcPr>
            <w:tcW w:w="9286" w:type="dxa"/>
          </w:tcPr>
          <w:p>
            <w:pPr>
              <w:spacing w:line="360" w:lineRule="auto"/>
              <w:rPr>
                <w:b/>
                <w:sz w:val="24"/>
              </w:rPr>
            </w:pPr>
            <w:r>
              <w:rPr>
                <w:rFonts w:hint="eastAsia"/>
                <w:b/>
                <w:sz w:val="24"/>
              </w:rPr>
              <w:t>一、</w:t>
            </w:r>
            <w:r>
              <w:rPr>
                <w:b/>
                <w:sz w:val="24"/>
              </w:rPr>
              <w:t>施工期环境影响分析</w:t>
            </w:r>
          </w:p>
          <w:p>
            <w:pPr>
              <w:spacing w:line="360" w:lineRule="auto"/>
              <w:ind w:firstLine="480" w:firstLineChars="200"/>
              <w:rPr>
                <w:kern w:val="0"/>
                <w:sz w:val="24"/>
              </w:rPr>
            </w:pPr>
            <w:bookmarkStart w:id="31" w:name="_Hlk6159654"/>
            <w:r>
              <w:rPr>
                <w:rFonts w:hint="eastAsia"/>
                <w:kern w:val="0"/>
                <w:sz w:val="24"/>
              </w:rPr>
              <w:t>本项目不新建厂房，不进行土方施工，主要是燃煤锅炉的拆除与燃气锅炉的安装。根据现场调查，本项目燃气锅炉设备已安装，因此设备安装噪声已不存在。由于设备在酒店的原有锅炉房内拆除，因此噪声较小。满足《建筑施工场界环境噪声排放标准》(GB12523-2011)中噪声标准限值要求，施工噪声对周围声环境影响较小，主要可能会对酒店的客房产生一定的影响。</w:t>
            </w:r>
          </w:p>
          <w:p>
            <w:pPr>
              <w:spacing w:line="360" w:lineRule="auto"/>
              <w:ind w:firstLine="480" w:firstLineChars="200"/>
              <w:rPr>
                <w:kern w:val="0"/>
                <w:sz w:val="24"/>
              </w:rPr>
            </w:pPr>
            <w:r>
              <w:rPr>
                <w:rFonts w:hint="eastAsia"/>
                <w:kern w:val="0"/>
                <w:sz w:val="24"/>
                <w:lang w:val="en-US" w:eastAsia="zh-CN"/>
              </w:rPr>
              <w:t>本项目燃气锅炉已安装，因此设备安装噪声已不存在。</w:t>
            </w:r>
            <w:r>
              <w:rPr>
                <w:rFonts w:hint="eastAsia"/>
                <w:kern w:val="0"/>
                <w:sz w:val="24"/>
              </w:rPr>
              <w:t>原有设备拆除过程中本环评要求采用低噪声设备、零配件轻拿轻放、白天实施，晚上不实施，车辆运输过程中不鸣笛等措施。由于设备拆除所需时间较短，因此采取以上措施后噪声不会对外界尤其对本酒店客房产生影响。</w:t>
            </w:r>
          </w:p>
          <w:p>
            <w:pPr>
              <w:spacing w:line="360" w:lineRule="auto"/>
              <w:ind w:firstLine="480" w:firstLineChars="200"/>
            </w:pPr>
            <w:r>
              <w:rPr>
                <w:rFonts w:hint="eastAsia"/>
                <w:kern w:val="0"/>
                <w:sz w:val="24"/>
              </w:rPr>
              <w:t>项目施工过程中会产生拆除的废旧设备、零部件，统一收集后外售，不会对周围环境产生影响。</w:t>
            </w:r>
          </w:p>
          <w:bookmarkEnd w:id="31"/>
          <w:p>
            <w:pPr>
              <w:adjustRightInd w:val="0"/>
              <w:snapToGrid w:val="0"/>
              <w:spacing w:before="156" w:beforeLines="50" w:line="360" w:lineRule="auto"/>
              <w:rPr>
                <w:b/>
                <w:sz w:val="24"/>
              </w:rPr>
            </w:pPr>
            <w:r>
              <w:rPr>
                <w:rFonts w:hint="eastAsia"/>
                <w:b/>
                <w:sz w:val="24"/>
              </w:rPr>
              <w:t>二、</w:t>
            </w:r>
            <w:r>
              <w:rPr>
                <w:b/>
                <w:sz w:val="24"/>
              </w:rPr>
              <w:t>运营期环境影响分析</w:t>
            </w:r>
          </w:p>
          <w:p>
            <w:pPr>
              <w:tabs>
                <w:tab w:val="left" w:pos="4480"/>
              </w:tabs>
              <w:spacing w:line="360" w:lineRule="auto"/>
              <w:ind w:firstLine="480" w:firstLineChars="200"/>
              <w:rPr>
                <w:sz w:val="24"/>
              </w:rPr>
            </w:pPr>
            <w:r>
              <w:rPr>
                <w:rFonts w:hint="eastAsia"/>
                <w:sz w:val="24"/>
              </w:rPr>
              <w:t>1、环境空气影响分析</w:t>
            </w:r>
          </w:p>
          <w:p>
            <w:pPr>
              <w:pStyle w:val="2"/>
              <w:adjustRightInd w:val="0"/>
              <w:snapToGrid w:val="0"/>
              <w:spacing w:line="360" w:lineRule="auto"/>
              <w:ind w:left="0" w:leftChars="0" w:firstLine="480" w:firstLineChars="200"/>
            </w:pPr>
            <w:r>
              <w:rPr>
                <w:rFonts w:hint="eastAsia"/>
              </w:rPr>
              <w:t xml:space="preserve">（1）大气环境评价等级 </w:t>
            </w:r>
          </w:p>
          <w:p>
            <w:pPr>
              <w:adjustRightInd w:val="0"/>
              <w:snapToGrid w:val="0"/>
              <w:spacing w:line="360" w:lineRule="auto"/>
              <w:ind w:firstLine="480" w:firstLineChars="200"/>
              <w:rPr>
                <w:kern w:val="0"/>
                <w:sz w:val="24"/>
              </w:rPr>
            </w:pPr>
            <w:r>
              <w:rPr>
                <w:rFonts w:hint="eastAsia"/>
                <w:kern w:val="0"/>
                <w:sz w:val="24"/>
              </w:rPr>
              <w:t>等级确定方法：根据项目主要大气污染物的排放量、项目所在地区的地形复杂程度及环境功能区划，按《环境影响评价技术导则》的规定进行划分。根据《环境影响评价技术导则大气环境》（HJ2.2-2018）中的有关规定，以第i个污染物的最大地面浓度占标率确定评价等级，将大气环境影响评价工作分为一、二、三级，评价工作级别的依据见表14。</w:t>
            </w:r>
          </w:p>
          <w:p>
            <w:pPr>
              <w:spacing w:line="360" w:lineRule="auto"/>
              <w:jc w:val="center"/>
              <w:outlineLvl w:val="4"/>
              <w:rPr>
                <w:rFonts w:eastAsia="黑体"/>
                <w:sz w:val="24"/>
                <w:szCs w:val="21"/>
              </w:rPr>
            </w:pPr>
            <w:r>
              <w:rPr>
                <w:rFonts w:hint="eastAsia" w:eastAsia="黑体"/>
                <w:sz w:val="24"/>
                <w:szCs w:val="21"/>
              </w:rPr>
              <w:t>表14</w:t>
            </w:r>
            <w:r>
              <w:rPr>
                <w:rFonts w:eastAsia="黑体"/>
                <w:sz w:val="24"/>
                <w:szCs w:val="21"/>
              </w:rPr>
              <w:t xml:space="preserve"> 环境空气影响评价工作等级判别表</w:t>
            </w:r>
          </w:p>
          <w:tbl>
            <w:tblPr>
              <w:tblStyle w:val="25"/>
              <w:tblW w:w="6659"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118"/>
              <w:gridCol w:w="454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2118" w:type="dxa"/>
                  <w:tcMar>
                    <w:left w:w="0" w:type="dxa"/>
                    <w:right w:w="0" w:type="dxa"/>
                  </w:tcMar>
                  <w:vAlign w:val="center"/>
                </w:tcPr>
                <w:p>
                  <w:pPr>
                    <w:widowControl/>
                    <w:jc w:val="center"/>
                    <w:rPr>
                      <w:kern w:val="0"/>
                      <w:szCs w:val="22"/>
                    </w:rPr>
                  </w:pPr>
                  <w:r>
                    <w:rPr>
                      <w:kern w:val="0"/>
                      <w:szCs w:val="22"/>
                    </w:rPr>
                    <w:t>评价等级</w:t>
                  </w:r>
                </w:p>
              </w:tc>
              <w:tc>
                <w:tcPr>
                  <w:tcW w:w="4541" w:type="dxa"/>
                  <w:vAlign w:val="center"/>
                </w:tcPr>
                <w:p>
                  <w:pPr>
                    <w:widowControl/>
                    <w:jc w:val="center"/>
                    <w:rPr>
                      <w:kern w:val="0"/>
                      <w:szCs w:val="22"/>
                    </w:rPr>
                  </w:pPr>
                  <w:r>
                    <w:rPr>
                      <w:kern w:val="0"/>
                      <w:szCs w:val="22"/>
                    </w:rPr>
                    <w:t>评价工作分级判据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2118" w:type="dxa"/>
                  <w:tcMar>
                    <w:left w:w="0" w:type="dxa"/>
                    <w:right w:w="0" w:type="dxa"/>
                  </w:tcMar>
                  <w:vAlign w:val="center"/>
                </w:tcPr>
                <w:p>
                  <w:pPr>
                    <w:widowControl/>
                    <w:jc w:val="center"/>
                    <w:rPr>
                      <w:kern w:val="0"/>
                      <w:szCs w:val="22"/>
                    </w:rPr>
                  </w:pPr>
                  <w:r>
                    <w:rPr>
                      <w:kern w:val="0"/>
                      <w:szCs w:val="22"/>
                    </w:rPr>
                    <w:t>一级</w:t>
                  </w:r>
                </w:p>
              </w:tc>
              <w:tc>
                <w:tcPr>
                  <w:tcW w:w="4541" w:type="dxa"/>
                  <w:vAlign w:val="center"/>
                </w:tcPr>
                <w:p>
                  <w:pPr>
                    <w:widowControl/>
                    <w:jc w:val="center"/>
                    <w:rPr>
                      <w:kern w:val="0"/>
                      <w:szCs w:val="22"/>
                    </w:rPr>
                  </w:pPr>
                  <w:r>
                    <w:rPr>
                      <w:kern w:val="0"/>
                      <w:szCs w:val="22"/>
                    </w:rPr>
                    <w:t>P</w:t>
                  </w:r>
                  <w:r>
                    <w:rPr>
                      <w:kern w:val="0"/>
                      <w:szCs w:val="22"/>
                      <w:vertAlign w:val="subscript"/>
                    </w:rPr>
                    <w:t>max</w:t>
                  </w:r>
                  <w:r>
                    <w:rPr>
                      <w:rFonts w:hint="eastAsia"/>
                      <w:kern w:val="0"/>
                      <w:szCs w:val="22"/>
                    </w:rPr>
                    <w:t>≥</w:t>
                  </w:r>
                  <w:r>
                    <w:rPr>
                      <w:kern w:val="0"/>
                      <w:szCs w:val="22"/>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2118" w:type="dxa"/>
                  <w:tcMar>
                    <w:left w:w="0" w:type="dxa"/>
                    <w:right w:w="0" w:type="dxa"/>
                  </w:tcMar>
                  <w:vAlign w:val="center"/>
                </w:tcPr>
                <w:p>
                  <w:pPr>
                    <w:widowControl/>
                    <w:jc w:val="center"/>
                    <w:rPr>
                      <w:kern w:val="0"/>
                      <w:szCs w:val="22"/>
                    </w:rPr>
                  </w:pPr>
                  <w:r>
                    <w:rPr>
                      <w:kern w:val="0"/>
                      <w:szCs w:val="22"/>
                    </w:rPr>
                    <w:t>二级</w:t>
                  </w:r>
                </w:p>
              </w:tc>
              <w:tc>
                <w:tcPr>
                  <w:tcW w:w="4541" w:type="dxa"/>
                  <w:vAlign w:val="center"/>
                </w:tcPr>
                <w:p>
                  <w:pPr>
                    <w:widowControl/>
                    <w:jc w:val="center"/>
                    <w:rPr>
                      <w:kern w:val="0"/>
                      <w:szCs w:val="22"/>
                    </w:rPr>
                  </w:pPr>
                  <w:r>
                    <w:rPr>
                      <w:kern w:val="0"/>
                      <w:szCs w:val="22"/>
                    </w:rPr>
                    <w:t>1</w:t>
                  </w:r>
                  <w:r>
                    <w:rPr>
                      <w:rFonts w:hint="eastAsia"/>
                      <w:kern w:val="0"/>
                      <w:szCs w:val="22"/>
                    </w:rPr>
                    <w:t>%≤</w:t>
                  </w:r>
                  <w:r>
                    <w:rPr>
                      <w:kern w:val="0"/>
                      <w:szCs w:val="22"/>
                    </w:rPr>
                    <w:t>P</w:t>
                  </w:r>
                  <w:r>
                    <w:rPr>
                      <w:kern w:val="0"/>
                      <w:szCs w:val="22"/>
                      <w:vertAlign w:val="subscript"/>
                    </w:rPr>
                    <w:t>max</w:t>
                  </w:r>
                  <w:r>
                    <w:rPr>
                      <w:kern w:val="0"/>
                      <w:szCs w:val="22"/>
                    </w:rPr>
                    <w:t>＜</w:t>
                  </w:r>
                  <w:r>
                    <w:rPr>
                      <w:rFonts w:hint="eastAsia"/>
                      <w:kern w:val="0"/>
                      <w:szCs w:val="22"/>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2118" w:type="dxa"/>
                  <w:tcMar>
                    <w:left w:w="0" w:type="dxa"/>
                    <w:right w:w="0" w:type="dxa"/>
                  </w:tcMar>
                  <w:vAlign w:val="center"/>
                </w:tcPr>
                <w:p>
                  <w:pPr>
                    <w:widowControl/>
                    <w:jc w:val="center"/>
                    <w:rPr>
                      <w:kern w:val="0"/>
                      <w:szCs w:val="22"/>
                    </w:rPr>
                  </w:pPr>
                  <w:r>
                    <w:rPr>
                      <w:kern w:val="0"/>
                      <w:szCs w:val="22"/>
                    </w:rPr>
                    <w:t>三级</w:t>
                  </w:r>
                </w:p>
              </w:tc>
              <w:tc>
                <w:tcPr>
                  <w:tcW w:w="4541" w:type="dxa"/>
                  <w:vAlign w:val="center"/>
                </w:tcPr>
                <w:p>
                  <w:pPr>
                    <w:widowControl/>
                    <w:jc w:val="center"/>
                    <w:rPr>
                      <w:kern w:val="0"/>
                      <w:szCs w:val="22"/>
                    </w:rPr>
                  </w:pPr>
                  <w:r>
                    <w:rPr>
                      <w:kern w:val="0"/>
                      <w:szCs w:val="22"/>
                    </w:rPr>
                    <w:t>P</w:t>
                  </w:r>
                  <w:r>
                    <w:rPr>
                      <w:kern w:val="0"/>
                      <w:szCs w:val="22"/>
                      <w:vertAlign w:val="subscript"/>
                    </w:rPr>
                    <w:t>max</w:t>
                  </w:r>
                  <w:r>
                    <w:rPr>
                      <w:rFonts w:hint="eastAsia"/>
                      <w:kern w:val="0"/>
                      <w:szCs w:val="22"/>
                    </w:rPr>
                    <w:t>＜</w:t>
                  </w:r>
                  <w:r>
                    <w:rPr>
                      <w:kern w:val="0"/>
                      <w:szCs w:val="22"/>
                    </w:rPr>
                    <w:t>1%</w:t>
                  </w:r>
                </w:p>
              </w:tc>
            </w:tr>
          </w:tbl>
          <w:p>
            <w:pPr>
              <w:spacing w:line="360" w:lineRule="auto"/>
              <w:ind w:firstLine="480" w:firstLineChars="200"/>
              <w:rPr>
                <w:sz w:val="24"/>
              </w:rPr>
            </w:pPr>
            <w:r>
              <w:rPr>
                <w:position w:val="-12"/>
                <w:sz w:val="24"/>
              </w:rPr>
              <w:drawing>
                <wp:inline distT="0" distB="0" distL="0" distR="0">
                  <wp:extent cx="153035" cy="2273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3035" cy="227330"/>
                          </a:xfrm>
                          <a:prstGeom prst="rect">
                            <a:avLst/>
                          </a:prstGeom>
                          <a:noFill/>
                          <a:ln>
                            <a:noFill/>
                          </a:ln>
                        </pic:spPr>
                      </pic:pic>
                    </a:graphicData>
                  </a:graphic>
                </wp:inline>
              </w:drawing>
            </w:r>
            <w:r>
              <w:rPr>
                <w:sz w:val="24"/>
              </w:rPr>
              <w:t>的计算方法为：</w:t>
            </w:r>
          </w:p>
          <w:p>
            <w:pPr>
              <w:spacing w:line="360" w:lineRule="auto"/>
              <w:ind w:firstLine="480" w:firstLineChars="200"/>
              <w:jc w:val="center"/>
              <w:rPr>
                <w:sz w:val="24"/>
              </w:rPr>
            </w:pPr>
            <w:r>
              <w:rPr>
                <w:sz w:val="24"/>
              </w:rPr>
              <w:drawing>
                <wp:inline distT="0" distB="0" distL="0" distR="0">
                  <wp:extent cx="988695" cy="4387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88695" cy="43878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w:t>
            </w:r>
            <w:r>
              <w:rPr>
                <w:rFonts w:hint="eastAsia"/>
                <w:sz w:val="24"/>
              </w:rPr>
              <w:t>：</w:t>
            </w:r>
            <w:r>
              <w:rPr>
                <w:position w:val="-12"/>
                <w:sz w:val="24"/>
              </w:rPr>
              <w:drawing>
                <wp:inline distT="0" distB="0" distL="0" distR="0">
                  <wp:extent cx="153035" cy="2273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3035" cy="227330"/>
                          </a:xfrm>
                          <a:prstGeom prst="rect">
                            <a:avLst/>
                          </a:prstGeom>
                          <a:noFill/>
                          <a:ln>
                            <a:noFill/>
                          </a:ln>
                        </pic:spPr>
                      </pic:pic>
                    </a:graphicData>
                  </a:graphic>
                </wp:inline>
              </w:drawing>
            </w:r>
            <w:r>
              <w:rPr>
                <w:sz w:val="24"/>
              </w:rPr>
              <w:t>—第</w:t>
            </w:r>
            <w:r>
              <w:rPr>
                <w:position w:val="-6"/>
                <w:sz w:val="24"/>
              </w:rPr>
              <w:drawing>
                <wp:inline distT="0" distB="0" distL="0" distR="0">
                  <wp:extent cx="74295" cy="1530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4295" cy="153035"/>
                          </a:xfrm>
                          <a:prstGeom prst="rect">
                            <a:avLst/>
                          </a:prstGeom>
                          <a:noFill/>
                          <a:ln>
                            <a:noFill/>
                          </a:ln>
                        </pic:spPr>
                      </pic:pic>
                    </a:graphicData>
                  </a:graphic>
                </wp:inline>
              </w:drawing>
            </w:r>
            <w:r>
              <w:rPr>
                <w:sz w:val="24"/>
              </w:rPr>
              <w:t>个污染物的最大地面浓度占标率，%；</w:t>
            </w:r>
          </w:p>
          <w:p>
            <w:pPr>
              <w:adjustRightInd w:val="0"/>
              <w:snapToGrid w:val="0"/>
              <w:spacing w:line="360" w:lineRule="auto"/>
              <w:ind w:firstLine="480" w:firstLineChars="200"/>
              <w:rPr>
                <w:sz w:val="24"/>
              </w:rPr>
            </w:pPr>
            <w:r>
              <w:rPr>
                <w:position w:val="-12"/>
                <w:sz w:val="24"/>
              </w:rPr>
              <w:drawing>
                <wp:inline distT="0" distB="0" distL="0" distR="0">
                  <wp:extent cx="190500" cy="2273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0500" cy="227330"/>
                          </a:xfrm>
                          <a:prstGeom prst="rect">
                            <a:avLst/>
                          </a:prstGeom>
                          <a:noFill/>
                          <a:ln>
                            <a:noFill/>
                          </a:ln>
                        </pic:spPr>
                      </pic:pic>
                    </a:graphicData>
                  </a:graphic>
                </wp:inline>
              </w:drawing>
            </w:r>
            <w:r>
              <w:rPr>
                <w:sz w:val="24"/>
              </w:rPr>
              <w:t>—采用估算</w:t>
            </w:r>
            <w:r>
              <w:rPr>
                <w:rFonts w:hint="eastAsia"/>
                <w:sz w:val="24"/>
              </w:rPr>
              <w:t>模型</w:t>
            </w:r>
            <w:r>
              <w:rPr>
                <w:sz w:val="24"/>
              </w:rPr>
              <w:t>计算出的第</w:t>
            </w:r>
            <w:r>
              <w:rPr>
                <w:position w:val="-6"/>
                <w:sz w:val="24"/>
              </w:rPr>
              <w:drawing>
                <wp:inline distT="0" distB="0" distL="0" distR="0">
                  <wp:extent cx="74295" cy="1530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4295" cy="153035"/>
                          </a:xfrm>
                          <a:prstGeom prst="rect">
                            <a:avLst/>
                          </a:prstGeom>
                          <a:noFill/>
                          <a:ln>
                            <a:noFill/>
                          </a:ln>
                        </pic:spPr>
                      </pic:pic>
                    </a:graphicData>
                  </a:graphic>
                </wp:inline>
              </w:drawing>
            </w:r>
            <w:r>
              <w:rPr>
                <w:sz w:val="24"/>
              </w:rPr>
              <w:t>个污染物的最大</w:t>
            </w:r>
            <w:r>
              <w:rPr>
                <w:rFonts w:hint="eastAsia"/>
                <w:sz w:val="24"/>
              </w:rPr>
              <w:t>1h</w:t>
            </w:r>
            <w:r>
              <w:rPr>
                <w:sz w:val="24"/>
              </w:rPr>
              <w:t>地面浓度，μg/m</w:t>
            </w:r>
            <w:r>
              <w:rPr>
                <w:sz w:val="24"/>
                <w:vertAlign w:val="superscript"/>
              </w:rPr>
              <w:t>3</w:t>
            </w:r>
            <w:r>
              <w:rPr>
                <w:sz w:val="24"/>
              </w:rPr>
              <w:t>；</w:t>
            </w:r>
          </w:p>
          <w:p>
            <w:pPr>
              <w:adjustRightInd w:val="0"/>
              <w:snapToGrid w:val="0"/>
              <w:spacing w:line="360" w:lineRule="auto"/>
              <w:ind w:firstLine="480" w:firstLineChars="200"/>
              <w:rPr>
                <w:sz w:val="24"/>
              </w:rPr>
            </w:pPr>
            <w:r>
              <w:rPr>
                <w:position w:val="-12"/>
                <w:sz w:val="24"/>
              </w:rPr>
              <w:drawing>
                <wp:inline distT="0" distB="0" distL="0" distR="0">
                  <wp:extent cx="227330" cy="2273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7330" cy="227330"/>
                          </a:xfrm>
                          <a:prstGeom prst="rect">
                            <a:avLst/>
                          </a:prstGeom>
                          <a:noFill/>
                          <a:ln>
                            <a:noFill/>
                          </a:ln>
                        </pic:spPr>
                      </pic:pic>
                    </a:graphicData>
                  </a:graphic>
                </wp:inline>
              </w:drawing>
            </w:r>
            <w:r>
              <w:rPr>
                <w:sz w:val="24"/>
              </w:rPr>
              <w:t>—第</w:t>
            </w:r>
            <w:r>
              <w:rPr>
                <w:position w:val="-6"/>
                <w:sz w:val="24"/>
              </w:rPr>
              <w:drawing>
                <wp:inline distT="0" distB="0" distL="0" distR="0">
                  <wp:extent cx="74295" cy="1530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4295" cy="153035"/>
                          </a:xfrm>
                          <a:prstGeom prst="rect">
                            <a:avLst/>
                          </a:prstGeom>
                          <a:noFill/>
                          <a:ln>
                            <a:noFill/>
                          </a:ln>
                        </pic:spPr>
                      </pic:pic>
                    </a:graphicData>
                  </a:graphic>
                </wp:inline>
              </w:drawing>
            </w:r>
            <w:r>
              <w:rPr>
                <w:sz w:val="24"/>
              </w:rPr>
              <w:t>个污染物的环境空气质量浓度标准，μg/m</w:t>
            </w:r>
            <w:r>
              <w:rPr>
                <w:sz w:val="24"/>
                <w:vertAlign w:val="superscript"/>
              </w:rPr>
              <w:t>3</w:t>
            </w:r>
            <w:r>
              <w:rPr>
                <w:sz w:val="24"/>
              </w:rPr>
              <w:t>。</w:t>
            </w:r>
            <w:r>
              <w:rPr>
                <w:position w:val="-12"/>
                <w:sz w:val="24"/>
              </w:rPr>
              <w:drawing>
                <wp:inline distT="0" distB="0" distL="0" distR="0">
                  <wp:extent cx="227330" cy="2273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7330" cy="227330"/>
                          </a:xfrm>
                          <a:prstGeom prst="rect">
                            <a:avLst/>
                          </a:prstGeom>
                          <a:noFill/>
                          <a:ln>
                            <a:noFill/>
                          </a:ln>
                        </pic:spPr>
                      </pic:pic>
                    </a:graphicData>
                  </a:graphic>
                </wp:inline>
              </w:drawing>
            </w:r>
            <w:r>
              <w:rPr>
                <w:sz w:val="24"/>
              </w:rPr>
              <w:t>一般选取GB3095中1小时二级浓度限值。对于仅有</w:t>
            </w:r>
            <w:r>
              <w:rPr>
                <w:rFonts w:hint="eastAsia"/>
                <w:sz w:val="24"/>
              </w:rPr>
              <w:t>8h平均质量浓度限值、日平均质量浓度限值或年平均质量浓度限值的，可分别按2倍、3倍、6倍折算为1h平均质量浓度限值</w:t>
            </w:r>
            <w:r>
              <w:rPr>
                <w:sz w:val="24"/>
              </w:rPr>
              <w:t>。</w:t>
            </w:r>
          </w:p>
          <w:p>
            <w:pPr>
              <w:spacing w:line="360" w:lineRule="auto"/>
              <w:ind w:firstLine="488" w:firstLineChars="200"/>
              <w:rPr>
                <w:spacing w:val="2"/>
                <w:kern w:val="0"/>
                <w:sz w:val="24"/>
              </w:rPr>
            </w:pPr>
            <w:r>
              <w:rPr>
                <w:rFonts w:hint="eastAsia"/>
                <w:spacing w:val="2"/>
                <w:kern w:val="0"/>
                <w:sz w:val="24"/>
              </w:rPr>
              <w:t>（2）估算结果</w:t>
            </w:r>
          </w:p>
          <w:p>
            <w:pPr>
              <w:spacing w:line="360" w:lineRule="auto"/>
              <w:ind w:firstLine="480" w:firstLineChars="200"/>
              <w:rPr>
                <w:sz w:val="24"/>
              </w:rPr>
            </w:pPr>
            <w:r>
              <w:rPr>
                <w:sz w:val="24"/>
              </w:rPr>
              <w:t>本</w:t>
            </w:r>
            <w:r>
              <w:rPr>
                <w:rFonts w:hint="eastAsia"/>
                <w:sz w:val="24"/>
              </w:rPr>
              <w:t>项目</w:t>
            </w:r>
            <w:r>
              <w:rPr>
                <w:sz w:val="24"/>
              </w:rPr>
              <w:t>排放的主要污染物为</w:t>
            </w:r>
            <w:r>
              <w:rPr>
                <w:rFonts w:hint="eastAsia"/>
                <w:sz w:val="24"/>
              </w:rPr>
              <w:t>烟尘、SO</w:t>
            </w:r>
            <w:r>
              <w:rPr>
                <w:rFonts w:hint="eastAsia"/>
                <w:sz w:val="24"/>
                <w:vertAlign w:val="subscript"/>
              </w:rPr>
              <w:t>2</w:t>
            </w:r>
            <w:r>
              <w:rPr>
                <w:rFonts w:hint="eastAsia"/>
                <w:sz w:val="24"/>
              </w:rPr>
              <w:t>、NO</w:t>
            </w:r>
            <w:r>
              <w:rPr>
                <w:rFonts w:hint="eastAsia"/>
                <w:sz w:val="24"/>
                <w:vertAlign w:val="subscript"/>
              </w:rPr>
              <w:t>X</w:t>
            </w:r>
            <w:r>
              <w:rPr>
                <w:rFonts w:hint="eastAsia"/>
                <w:sz w:val="24"/>
              </w:rPr>
              <w:t>，故</w:t>
            </w:r>
            <w:r>
              <w:rPr>
                <w:sz w:val="24"/>
              </w:rPr>
              <w:t>评价等级</w:t>
            </w:r>
            <w:r>
              <w:rPr>
                <w:rFonts w:hint="eastAsia"/>
                <w:sz w:val="24"/>
              </w:rPr>
              <w:t>根据烟尘、SO</w:t>
            </w:r>
            <w:r>
              <w:rPr>
                <w:rFonts w:hint="eastAsia"/>
                <w:sz w:val="24"/>
                <w:vertAlign w:val="subscript"/>
              </w:rPr>
              <w:t>2</w:t>
            </w:r>
            <w:r>
              <w:rPr>
                <w:rFonts w:hint="eastAsia"/>
                <w:sz w:val="24"/>
              </w:rPr>
              <w:t>、NO</w:t>
            </w:r>
            <w:r>
              <w:rPr>
                <w:rFonts w:hint="eastAsia"/>
                <w:sz w:val="24"/>
                <w:vertAlign w:val="subscript"/>
              </w:rPr>
              <w:t>X</w:t>
            </w:r>
            <w:r>
              <w:rPr>
                <w:sz w:val="24"/>
              </w:rPr>
              <w:t>的排放参数确定。根据导则</w:t>
            </w:r>
            <w:r>
              <w:rPr>
                <w:rFonts w:hint="eastAsia"/>
                <w:sz w:val="24"/>
              </w:rPr>
              <w:t>相关规定</w:t>
            </w:r>
            <w:r>
              <w:rPr>
                <w:sz w:val="24"/>
              </w:rPr>
              <w:t>，选取推荐模式中的估算模型对项目的大气环境评价工作进行分级。估算模型参数见表</w:t>
            </w:r>
            <w:r>
              <w:rPr>
                <w:rFonts w:hint="eastAsia"/>
                <w:sz w:val="24"/>
              </w:rPr>
              <w:t>15。</w:t>
            </w:r>
          </w:p>
          <w:p>
            <w:pPr>
              <w:spacing w:line="360" w:lineRule="auto"/>
              <w:jc w:val="center"/>
              <w:outlineLvl w:val="4"/>
              <w:rPr>
                <w:rFonts w:eastAsia="黑体"/>
                <w:sz w:val="24"/>
                <w:szCs w:val="21"/>
              </w:rPr>
            </w:pPr>
            <w:r>
              <w:rPr>
                <w:rFonts w:eastAsia="黑体"/>
                <w:sz w:val="24"/>
                <w:szCs w:val="21"/>
              </w:rPr>
              <w:t>表</w:t>
            </w:r>
            <w:r>
              <w:rPr>
                <w:rFonts w:hint="eastAsia" w:eastAsia="黑体"/>
                <w:sz w:val="24"/>
                <w:szCs w:val="21"/>
              </w:rPr>
              <w:t>15</w:t>
            </w:r>
            <w:r>
              <w:rPr>
                <w:rFonts w:eastAsia="黑体"/>
                <w:sz w:val="24"/>
                <w:szCs w:val="21"/>
              </w:rPr>
              <w:t xml:space="preserve"> 估算模型参数表</w:t>
            </w:r>
          </w:p>
          <w:tbl>
            <w:tblPr>
              <w:tblStyle w:val="25"/>
              <w:tblW w:w="7514" w:type="dxa"/>
              <w:tblInd w:w="72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3016"/>
              <w:gridCol w:w="2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09" w:type="dxa"/>
                  <w:gridSpan w:val="2"/>
                  <w:shd w:val="clear" w:color="auto" w:fill="auto"/>
                  <w:vAlign w:val="center"/>
                </w:tcPr>
                <w:p>
                  <w:pPr>
                    <w:widowControl/>
                    <w:jc w:val="center"/>
                    <w:rPr>
                      <w:kern w:val="0"/>
                      <w:szCs w:val="22"/>
                    </w:rPr>
                  </w:pPr>
                  <w:r>
                    <w:rPr>
                      <w:rFonts w:hint="eastAsia"/>
                      <w:kern w:val="0"/>
                      <w:szCs w:val="22"/>
                    </w:rPr>
                    <w:t>参数</w:t>
                  </w:r>
                </w:p>
              </w:tc>
              <w:tc>
                <w:tcPr>
                  <w:tcW w:w="2205" w:type="dxa"/>
                  <w:shd w:val="clear" w:color="auto" w:fill="auto"/>
                  <w:vAlign w:val="center"/>
                </w:tcPr>
                <w:p>
                  <w:pPr>
                    <w:widowControl/>
                    <w:jc w:val="center"/>
                    <w:rPr>
                      <w:kern w:val="0"/>
                      <w:szCs w:val="22"/>
                    </w:rPr>
                  </w:pPr>
                  <w:r>
                    <w:rPr>
                      <w:rFonts w:hint="eastAsia"/>
                      <w:kern w:val="0"/>
                      <w:szCs w:val="22"/>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93" w:type="dxa"/>
                  <w:vMerge w:val="restart"/>
                  <w:shd w:val="clear" w:color="auto" w:fill="auto"/>
                  <w:vAlign w:val="center"/>
                </w:tcPr>
                <w:p>
                  <w:pPr>
                    <w:widowControl/>
                    <w:jc w:val="center"/>
                    <w:rPr>
                      <w:kern w:val="0"/>
                      <w:szCs w:val="22"/>
                    </w:rPr>
                  </w:pPr>
                  <w:r>
                    <w:rPr>
                      <w:rFonts w:hint="eastAsia"/>
                      <w:kern w:val="0"/>
                      <w:szCs w:val="22"/>
                    </w:rPr>
                    <w:t>城市/农村选项</w:t>
                  </w:r>
                </w:p>
              </w:tc>
              <w:tc>
                <w:tcPr>
                  <w:tcW w:w="3016" w:type="dxa"/>
                  <w:shd w:val="clear" w:color="auto" w:fill="auto"/>
                  <w:vAlign w:val="center"/>
                </w:tcPr>
                <w:p>
                  <w:pPr>
                    <w:widowControl/>
                    <w:jc w:val="center"/>
                    <w:rPr>
                      <w:kern w:val="0"/>
                      <w:szCs w:val="22"/>
                    </w:rPr>
                  </w:pPr>
                  <w:r>
                    <w:rPr>
                      <w:rFonts w:hint="eastAsia"/>
                      <w:kern w:val="0"/>
                      <w:szCs w:val="22"/>
                    </w:rPr>
                    <w:t>城市/农村</w:t>
                  </w:r>
                </w:p>
              </w:tc>
              <w:tc>
                <w:tcPr>
                  <w:tcW w:w="2205" w:type="dxa"/>
                  <w:shd w:val="clear" w:color="auto" w:fill="auto"/>
                  <w:vAlign w:val="center"/>
                </w:tcPr>
                <w:p>
                  <w:pPr>
                    <w:widowControl/>
                    <w:jc w:val="center"/>
                    <w:rPr>
                      <w:kern w:val="0"/>
                      <w:szCs w:val="22"/>
                    </w:rPr>
                  </w:pPr>
                  <w:r>
                    <w:rPr>
                      <w:rFonts w:hint="eastAsia"/>
                      <w:kern w:val="0"/>
                      <w:szCs w:val="22"/>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93" w:type="dxa"/>
                  <w:vMerge w:val="continue"/>
                  <w:shd w:val="clear" w:color="auto" w:fill="auto"/>
                  <w:vAlign w:val="center"/>
                </w:tcPr>
                <w:p>
                  <w:pPr>
                    <w:widowControl/>
                    <w:jc w:val="center"/>
                    <w:rPr>
                      <w:kern w:val="0"/>
                      <w:szCs w:val="22"/>
                    </w:rPr>
                  </w:pPr>
                </w:p>
              </w:tc>
              <w:tc>
                <w:tcPr>
                  <w:tcW w:w="3016" w:type="dxa"/>
                  <w:shd w:val="clear" w:color="auto" w:fill="auto"/>
                  <w:vAlign w:val="center"/>
                </w:tcPr>
                <w:p>
                  <w:pPr>
                    <w:widowControl/>
                    <w:jc w:val="center"/>
                    <w:rPr>
                      <w:kern w:val="0"/>
                      <w:szCs w:val="22"/>
                    </w:rPr>
                  </w:pPr>
                  <w:r>
                    <w:rPr>
                      <w:rFonts w:hint="eastAsia"/>
                      <w:kern w:val="0"/>
                      <w:szCs w:val="22"/>
                    </w:rPr>
                    <w:t>人口数（城市选项时）</w:t>
                  </w:r>
                </w:p>
              </w:tc>
              <w:tc>
                <w:tcPr>
                  <w:tcW w:w="2205" w:type="dxa"/>
                  <w:shd w:val="clear" w:color="auto" w:fill="auto"/>
                  <w:vAlign w:val="center"/>
                </w:tcPr>
                <w:p>
                  <w:pPr>
                    <w:widowControl/>
                    <w:jc w:val="center"/>
                    <w:rPr>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09" w:type="dxa"/>
                  <w:gridSpan w:val="2"/>
                  <w:shd w:val="clear" w:color="auto" w:fill="auto"/>
                  <w:vAlign w:val="center"/>
                </w:tcPr>
                <w:p>
                  <w:pPr>
                    <w:widowControl/>
                    <w:jc w:val="center"/>
                    <w:rPr>
                      <w:kern w:val="0"/>
                      <w:szCs w:val="22"/>
                    </w:rPr>
                  </w:pPr>
                  <w:r>
                    <w:rPr>
                      <w:rFonts w:hint="eastAsia"/>
                      <w:kern w:val="0"/>
                      <w:szCs w:val="22"/>
                    </w:rPr>
                    <w:t>最高环境温度/℃</w:t>
                  </w:r>
                </w:p>
              </w:tc>
              <w:tc>
                <w:tcPr>
                  <w:tcW w:w="2205" w:type="dxa"/>
                  <w:shd w:val="clear" w:color="auto" w:fill="auto"/>
                  <w:vAlign w:val="center"/>
                </w:tcPr>
                <w:p>
                  <w:pPr>
                    <w:widowControl/>
                    <w:jc w:val="center"/>
                    <w:rPr>
                      <w:kern w:val="0"/>
                      <w:szCs w:val="22"/>
                    </w:rPr>
                  </w:pPr>
                  <w:r>
                    <w:rPr>
                      <w:rFonts w:hint="eastAsia"/>
                      <w:kern w:val="0"/>
                      <w:szCs w:val="22"/>
                    </w:rPr>
                    <w:t>37.1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09" w:type="dxa"/>
                  <w:gridSpan w:val="2"/>
                  <w:shd w:val="clear" w:color="auto" w:fill="auto"/>
                  <w:vAlign w:val="center"/>
                </w:tcPr>
                <w:p>
                  <w:pPr>
                    <w:widowControl/>
                    <w:jc w:val="center"/>
                    <w:rPr>
                      <w:kern w:val="0"/>
                      <w:szCs w:val="22"/>
                    </w:rPr>
                  </w:pPr>
                  <w:r>
                    <w:rPr>
                      <w:rFonts w:hint="eastAsia"/>
                      <w:kern w:val="0"/>
                      <w:szCs w:val="22"/>
                    </w:rPr>
                    <w:t>最低环境温度/℃</w:t>
                  </w:r>
                </w:p>
              </w:tc>
              <w:tc>
                <w:tcPr>
                  <w:tcW w:w="2205" w:type="dxa"/>
                  <w:shd w:val="clear" w:color="auto" w:fill="auto"/>
                  <w:vAlign w:val="center"/>
                </w:tcPr>
                <w:p>
                  <w:pPr>
                    <w:widowControl/>
                    <w:jc w:val="center"/>
                    <w:rPr>
                      <w:kern w:val="0"/>
                      <w:szCs w:val="22"/>
                    </w:rPr>
                  </w:pPr>
                  <w:r>
                    <w:rPr>
                      <w:rFonts w:hint="eastAsia"/>
                      <w:kern w:val="0"/>
                      <w:szCs w:val="22"/>
                    </w:rPr>
                    <w:t>-</w:t>
                  </w:r>
                  <w:r>
                    <w:rPr>
                      <w:kern w:val="0"/>
                      <w:szCs w:val="22"/>
                    </w:rPr>
                    <w:t>1</w:t>
                  </w:r>
                  <w:r>
                    <w:rPr>
                      <w:rFonts w:hint="eastAsia"/>
                      <w:kern w:val="0"/>
                      <w:szCs w:val="22"/>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09" w:type="dxa"/>
                  <w:gridSpan w:val="2"/>
                  <w:shd w:val="clear" w:color="auto" w:fill="auto"/>
                  <w:vAlign w:val="center"/>
                </w:tcPr>
                <w:p>
                  <w:pPr>
                    <w:widowControl/>
                    <w:jc w:val="center"/>
                    <w:rPr>
                      <w:kern w:val="0"/>
                      <w:szCs w:val="22"/>
                    </w:rPr>
                  </w:pPr>
                  <w:r>
                    <w:rPr>
                      <w:rFonts w:hint="eastAsia"/>
                      <w:kern w:val="0"/>
                      <w:szCs w:val="22"/>
                    </w:rPr>
                    <w:t>土地利用类型</w:t>
                  </w:r>
                </w:p>
              </w:tc>
              <w:tc>
                <w:tcPr>
                  <w:tcW w:w="2205" w:type="dxa"/>
                  <w:shd w:val="clear" w:color="auto" w:fill="auto"/>
                  <w:vAlign w:val="center"/>
                </w:tcPr>
                <w:p>
                  <w:pPr>
                    <w:widowControl/>
                    <w:jc w:val="center"/>
                    <w:rPr>
                      <w:kern w:val="0"/>
                      <w:szCs w:val="22"/>
                    </w:rPr>
                  </w:pPr>
                  <w:r>
                    <w:rPr>
                      <w:rFonts w:hint="eastAsia"/>
                      <w:kern w:val="0"/>
                      <w:szCs w:val="22"/>
                    </w:rPr>
                    <w:t>落叶林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309" w:type="dxa"/>
                  <w:gridSpan w:val="2"/>
                  <w:shd w:val="clear" w:color="auto" w:fill="auto"/>
                  <w:vAlign w:val="center"/>
                </w:tcPr>
                <w:p>
                  <w:pPr>
                    <w:widowControl/>
                    <w:jc w:val="center"/>
                    <w:rPr>
                      <w:kern w:val="0"/>
                      <w:szCs w:val="22"/>
                    </w:rPr>
                  </w:pPr>
                  <w:r>
                    <w:rPr>
                      <w:rFonts w:hint="eastAsia"/>
                      <w:kern w:val="0"/>
                      <w:szCs w:val="22"/>
                    </w:rPr>
                    <w:t>区域湿度条件</w:t>
                  </w:r>
                </w:p>
              </w:tc>
              <w:tc>
                <w:tcPr>
                  <w:tcW w:w="2205" w:type="dxa"/>
                  <w:shd w:val="clear" w:color="auto" w:fill="auto"/>
                  <w:vAlign w:val="center"/>
                </w:tcPr>
                <w:p>
                  <w:pPr>
                    <w:widowControl/>
                    <w:jc w:val="center"/>
                    <w:rPr>
                      <w:kern w:val="0"/>
                      <w:szCs w:val="22"/>
                    </w:rPr>
                  </w:pPr>
                  <w:r>
                    <w:rPr>
                      <w:rFonts w:hint="eastAsia"/>
                      <w:kern w:val="0"/>
                      <w:szCs w:val="22"/>
                    </w:rPr>
                    <w:t>中等湿度气候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93" w:type="dxa"/>
                  <w:vMerge w:val="restart"/>
                  <w:shd w:val="clear" w:color="auto" w:fill="auto"/>
                  <w:vAlign w:val="center"/>
                </w:tcPr>
                <w:p>
                  <w:pPr>
                    <w:widowControl/>
                    <w:jc w:val="center"/>
                    <w:rPr>
                      <w:kern w:val="0"/>
                      <w:szCs w:val="22"/>
                    </w:rPr>
                  </w:pPr>
                  <w:r>
                    <w:rPr>
                      <w:rFonts w:hint="eastAsia"/>
                      <w:kern w:val="0"/>
                      <w:szCs w:val="22"/>
                    </w:rPr>
                    <w:t>是否考虑地形</w:t>
                  </w:r>
                </w:p>
              </w:tc>
              <w:tc>
                <w:tcPr>
                  <w:tcW w:w="3016" w:type="dxa"/>
                  <w:shd w:val="clear" w:color="auto" w:fill="auto"/>
                  <w:vAlign w:val="center"/>
                </w:tcPr>
                <w:p>
                  <w:pPr>
                    <w:widowControl/>
                    <w:jc w:val="center"/>
                    <w:rPr>
                      <w:kern w:val="0"/>
                      <w:szCs w:val="22"/>
                    </w:rPr>
                  </w:pPr>
                  <w:r>
                    <w:rPr>
                      <w:rFonts w:hint="eastAsia"/>
                      <w:kern w:val="0"/>
                      <w:szCs w:val="22"/>
                    </w:rPr>
                    <w:t>考虑地形</w:t>
                  </w:r>
                </w:p>
              </w:tc>
              <w:tc>
                <w:tcPr>
                  <w:tcW w:w="2205" w:type="dxa"/>
                  <w:shd w:val="clear" w:color="auto" w:fill="auto"/>
                  <w:vAlign w:val="center"/>
                </w:tcPr>
                <w:p>
                  <w:pPr>
                    <w:widowControl/>
                    <w:jc w:val="center"/>
                    <w:rPr>
                      <w:kern w:val="0"/>
                      <w:szCs w:val="22"/>
                    </w:rPr>
                  </w:pPr>
                  <w:r>
                    <w:rPr>
                      <w:rFonts w:hint="eastAsia"/>
                      <w:kern w:val="0"/>
                      <w:szCs w:val="22"/>
                    </w:rPr>
                    <w:t xml:space="preserve">□是  </w:t>
                  </w:r>
                  <w:r>
                    <w:rPr>
                      <w:rFonts w:ascii="Segoe UI Symbol" w:hAnsi="Segoe UI Symbol" w:cs="Segoe UI Symbol"/>
                      <w:kern w:val="0"/>
                      <w:szCs w:val="22"/>
                    </w:rPr>
                    <w:t>☑</w:t>
                  </w:r>
                  <w:r>
                    <w:rPr>
                      <w:rFonts w:hint="eastAsia"/>
                      <w:kern w:val="0"/>
                      <w:szCs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93" w:type="dxa"/>
                  <w:vMerge w:val="continue"/>
                  <w:shd w:val="clear" w:color="auto" w:fill="auto"/>
                  <w:vAlign w:val="center"/>
                </w:tcPr>
                <w:p>
                  <w:pPr>
                    <w:widowControl/>
                    <w:jc w:val="center"/>
                    <w:rPr>
                      <w:kern w:val="0"/>
                      <w:szCs w:val="22"/>
                    </w:rPr>
                  </w:pPr>
                </w:p>
              </w:tc>
              <w:tc>
                <w:tcPr>
                  <w:tcW w:w="3016" w:type="dxa"/>
                  <w:shd w:val="clear" w:color="auto" w:fill="auto"/>
                  <w:vAlign w:val="center"/>
                </w:tcPr>
                <w:p>
                  <w:pPr>
                    <w:widowControl/>
                    <w:jc w:val="center"/>
                    <w:rPr>
                      <w:kern w:val="0"/>
                      <w:szCs w:val="22"/>
                    </w:rPr>
                  </w:pPr>
                  <w:r>
                    <w:rPr>
                      <w:rFonts w:hint="eastAsia"/>
                      <w:kern w:val="0"/>
                      <w:szCs w:val="22"/>
                    </w:rPr>
                    <w:t>地形数据分辨率</w:t>
                  </w:r>
                </w:p>
              </w:tc>
              <w:tc>
                <w:tcPr>
                  <w:tcW w:w="2205" w:type="dxa"/>
                  <w:shd w:val="clear" w:color="auto" w:fill="auto"/>
                  <w:vAlign w:val="center"/>
                </w:tcPr>
                <w:p>
                  <w:pPr>
                    <w:widowControl/>
                    <w:jc w:val="center"/>
                    <w:rPr>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93" w:type="dxa"/>
                  <w:vMerge w:val="restart"/>
                  <w:shd w:val="clear" w:color="auto" w:fill="auto"/>
                  <w:vAlign w:val="center"/>
                </w:tcPr>
                <w:p>
                  <w:pPr>
                    <w:widowControl/>
                    <w:jc w:val="center"/>
                    <w:rPr>
                      <w:kern w:val="0"/>
                      <w:szCs w:val="22"/>
                    </w:rPr>
                  </w:pPr>
                  <w:r>
                    <w:rPr>
                      <w:rFonts w:hint="eastAsia"/>
                      <w:kern w:val="0"/>
                      <w:szCs w:val="22"/>
                    </w:rPr>
                    <w:t>是否考虑岸线熏烟</w:t>
                  </w:r>
                </w:p>
              </w:tc>
              <w:tc>
                <w:tcPr>
                  <w:tcW w:w="3016" w:type="dxa"/>
                  <w:shd w:val="clear" w:color="auto" w:fill="auto"/>
                  <w:vAlign w:val="center"/>
                </w:tcPr>
                <w:p>
                  <w:pPr>
                    <w:widowControl/>
                    <w:jc w:val="center"/>
                    <w:rPr>
                      <w:kern w:val="0"/>
                      <w:szCs w:val="22"/>
                    </w:rPr>
                  </w:pPr>
                  <w:r>
                    <w:rPr>
                      <w:rFonts w:hint="eastAsia"/>
                      <w:kern w:val="0"/>
                      <w:szCs w:val="22"/>
                    </w:rPr>
                    <w:t>考虑岸线熏烟</w:t>
                  </w:r>
                </w:p>
              </w:tc>
              <w:tc>
                <w:tcPr>
                  <w:tcW w:w="2205" w:type="dxa"/>
                  <w:shd w:val="clear" w:color="auto" w:fill="auto"/>
                  <w:vAlign w:val="center"/>
                </w:tcPr>
                <w:p>
                  <w:pPr>
                    <w:widowControl/>
                    <w:jc w:val="center"/>
                    <w:rPr>
                      <w:kern w:val="0"/>
                      <w:szCs w:val="22"/>
                    </w:rPr>
                  </w:pPr>
                  <w:r>
                    <w:rPr>
                      <w:rFonts w:hint="eastAsia"/>
                      <w:kern w:val="0"/>
                      <w:szCs w:val="22"/>
                    </w:rPr>
                    <w:t xml:space="preserve">□是  </w:t>
                  </w:r>
                  <w:r>
                    <w:rPr>
                      <w:rFonts w:ascii="Segoe UI Symbol" w:hAnsi="Segoe UI Symbol" w:cs="Segoe UI Symbol"/>
                      <w:kern w:val="0"/>
                      <w:szCs w:val="22"/>
                    </w:rPr>
                    <w:t>☑</w:t>
                  </w:r>
                  <w:r>
                    <w:rPr>
                      <w:rFonts w:hint="eastAsia"/>
                      <w:kern w:val="0"/>
                      <w:szCs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93" w:type="dxa"/>
                  <w:vMerge w:val="continue"/>
                  <w:shd w:val="clear" w:color="auto" w:fill="auto"/>
                  <w:vAlign w:val="center"/>
                </w:tcPr>
                <w:p>
                  <w:pPr>
                    <w:widowControl/>
                    <w:jc w:val="center"/>
                    <w:rPr>
                      <w:kern w:val="0"/>
                      <w:szCs w:val="22"/>
                    </w:rPr>
                  </w:pPr>
                </w:p>
              </w:tc>
              <w:tc>
                <w:tcPr>
                  <w:tcW w:w="3016" w:type="dxa"/>
                  <w:shd w:val="clear" w:color="auto" w:fill="auto"/>
                  <w:vAlign w:val="center"/>
                </w:tcPr>
                <w:p>
                  <w:pPr>
                    <w:widowControl/>
                    <w:jc w:val="center"/>
                    <w:rPr>
                      <w:kern w:val="0"/>
                      <w:szCs w:val="22"/>
                    </w:rPr>
                  </w:pPr>
                  <w:r>
                    <w:rPr>
                      <w:rFonts w:hint="eastAsia"/>
                      <w:kern w:val="0"/>
                      <w:szCs w:val="22"/>
                    </w:rPr>
                    <w:t>岸线距离</w:t>
                  </w:r>
                </w:p>
              </w:tc>
              <w:tc>
                <w:tcPr>
                  <w:tcW w:w="2205" w:type="dxa"/>
                  <w:shd w:val="clear" w:color="auto" w:fill="auto"/>
                  <w:vAlign w:val="center"/>
                </w:tcPr>
                <w:p>
                  <w:pPr>
                    <w:widowControl/>
                    <w:jc w:val="center"/>
                    <w:rPr>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93" w:type="dxa"/>
                  <w:vMerge w:val="continue"/>
                  <w:shd w:val="clear" w:color="auto" w:fill="auto"/>
                  <w:vAlign w:val="center"/>
                </w:tcPr>
                <w:p>
                  <w:pPr>
                    <w:widowControl/>
                    <w:jc w:val="center"/>
                    <w:rPr>
                      <w:kern w:val="0"/>
                      <w:szCs w:val="22"/>
                    </w:rPr>
                  </w:pPr>
                </w:p>
              </w:tc>
              <w:tc>
                <w:tcPr>
                  <w:tcW w:w="3016" w:type="dxa"/>
                  <w:shd w:val="clear" w:color="auto" w:fill="auto"/>
                  <w:vAlign w:val="center"/>
                </w:tcPr>
                <w:p>
                  <w:pPr>
                    <w:widowControl/>
                    <w:jc w:val="center"/>
                    <w:rPr>
                      <w:kern w:val="0"/>
                      <w:szCs w:val="22"/>
                    </w:rPr>
                  </w:pPr>
                  <w:r>
                    <w:rPr>
                      <w:rFonts w:hint="eastAsia"/>
                      <w:kern w:val="0"/>
                      <w:szCs w:val="22"/>
                    </w:rPr>
                    <w:t>岸线方向/°</w:t>
                  </w:r>
                </w:p>
              </w:tc>
              <w:tc>
                <w:tcPr>
                  <w:tcW w:w="2205" w:type="dxa"/>
                  <w:shd w:val="clear" w:color="auto" w:fill="auto"/>
                  <w:vAlign w:val="center"/>
                </w:tcPr>
                <w:p>
                  <w:pPr>
                    <w:widowControl/>
                    <w:jc w:val="center"/>
                    <w:rPr>
                      <w:kern w:val="0"/>
                      <w:szCs w:val="22"/>
                    </w:rPr>
                  </w:pPr>
                </w:p>
              </w:tc>
            </w:tr>
          </w:tbl>
          <w:p>
            <w:pPr>
              <w:spacing w:line="360" w:lineRule="auto"/>
              <w:ind w:firstLine="480" w:firstLineChars="200"/>
              <w:rPr>
                <w:sz w:val="24"/>
              </w:rPr>
            </w:pPr>
            <w:r>
              <w:rPr>
                <w:rFonts w:hint="eastAsia"/>
                <w:sz w:val="24"/>
              </w:rPr>
              <w:t>废气污染源参数见表16。</w:t>
            </w:r>
          </w:p>
          <w:p>
            <w:pPr>
              <w:spacing w:line="360" w:lineRule="auto"/>
              <w:jc w:val="center"/>
              <w:outlineLvl w:val="4"/>
              <w:rPr>
                <w:rFonts w:eastAsia="黑体"/>
                <w:sz w:val="24"/>
                <w:szCs w:val="21"/>
              </w:rPr>
            </w:pPr>
            <w:r>
              <w:rPr>
                <w:rFonts w:eastAsia="黑体"/>
                <w:sz w:val="24"/>
                <w:szCs w:val="21"/>
              </w:rPr>
              <w:t>表</w:t>
            </w:r>
            <w:r>
              <w:rPr>
                <w:rFonts w:hint="eastAsia" w:eastAsia="黑体"/>
                <w:sz w:val="24"/>
                <w:szCs w:val="21"/>
              </w:rPr>
              <w:t>16 有</w:t>
            </w:r>
            <w:r>
              <w:rPr>
                <w:rFonts w:eastAsia="黑体"/>
                <w:sz w:val="24"/>
                <w:szCs w:val="21"/>
              </w:rPr>
              <w:t>组织废气污染源</w:t>
            </w:r>
            <w:r>
              <w:rPr>
                <w:rFonts w:hint="eastAsia" w:eastAsia="黑体"/>
                <w:sz w:val="24"/>
                <w:szCs w:val="21"/>
              </w:rPr>
              <w:t>排放参数</w:t>
            </w:r>
          </w:p>
          <w:tbl>
            <w:tblPr>
              <w:tblStyle w:val="25"/>
              <w:tblW w:w="904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391"/>
              <w:gridCol w:w="747"/>
              <w:gridCol w:w="868"/>
              <w:gridCol w:w="984"/>
              <w:gridCol w:w="707"/>
              <w:gridCol w:w="568"/>
              <w:gridCol w:w="620"/>
              <w:gridCol w:w="767"/>
              <w:gridCol w:w="685"/>
              <w:gridCol w:w="705"/>
              <w:gridCol w:w="908"/>
              <w:gridCol w:w="10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642" w:hRule="atLeast"/>
              </w:trPr>
              <w:tc>
                <w:tcPr>
                  <w:tcW w:w="391" w:type="dxa"/>
                  <w:vMerge w:val="restart"/>
                  <w:shd w:val="clear" w:color="auto" w:fill="FFFFFF"/>
                  <w:vAlign w:val="center"/>
                </w:tcPr>
                <w:p>
                  <w:pPr>
                    <w:widowControl/>
                    <w:jc w:val="center"/>
                    <w:rPr>
                      <w:kern w:val="0"/>
                      <w:szCs w:val="22"/>
                    </w:rPr>
                  </w:pPr>
                  <w:r>
                    <w:rPr>
                      <w:kern w:val="0"/>
                      <w:szCs w:val="22"/>
                    </w:rPr>
                    <w:t>编号</w:t>
                  </w:r>
                </w:p>
              </w:tc>
              <w:tc>
                <w:tcPr>
                  <w:tcW w:w="747" w:type="dxa"/>
                  <w:vMerge w:val="restart"/>
                  <w:shd w:val="clear" w:color="auto" w:fill="FFFFFF"/>
                  <w:vAlign w:val="center"/>
                </w:tcPr>
                <w:p>
                  <w:pPr>
                    <w:widowControl/>
                    <w:jc w:val="center"/>
                    <w:rPr>
                      <w:kern w:val="0"/>
                      <w:szCs w:val="22"/>
                    </w:rPr>
                  </w:pPr>
                  <w:r>
                    <w:rPr>
                      <w:kern w:val="0"/>
                      <w:szCs w:val="22"/>
                    </w:rPr>
                    <w:t>污染物名称</w:t>
                  </w:r>
                </w:p>
              </w:tc>
              <w:tc>
                <w:tcPr>
                  <w:tcW w:w="1852" w:type="dxa"/>
                  <w:gridSpan w:val="2"/>
                  <w:shd w:val="clear" w:color="auto" w:fill="FFFFFF"/>
                  <w:vAlign w:val="center"/>
                </w:tcPr>
                <w:p>
                  <w:pPr>
                    <w:widowControl/>
                    <w:jc w:val="center"/>
                    <w:rPr>
                      <w:kern w:val="0"/>
                      <w:szCs w:val="22"/>
                    </w:rPr>
                  </w:pPr>
                  <w:r>
                    <w:rPr>
                      <w:kern w:val="0"/>
                      <w:szCs w:val="22"/>
                    </w:rPr>
                    <w:t>排气筒底部中心坐标（m）</w:t>
                  </w:r>
                </w:p>
              </w:tc>
              <w:tc>
                <w:tcPr>
                  <w:tcW w:w="707" w:type="dxa"/>
                  <w:vMerge w:val="restart"/>
                  <w:shd w:val="clear" w:color="auto" w:fill="FFFFFF"/>
                  <w:vAlign w:val="center"/>
                </w:tcPr>
                <w:p>
                  <w:pPr>
                    <w:widowControl/>
                    <w:jc w:val="center"/>
                    <w:rPr>
                      <w:kern w:val="0"/>
                      <w:szCs w:val="22"/>
                    </w:rPr>
                  </w:pPr>
                  <w:r>
                    <w:rPr>
                      <w:kern w:val="0"/>
                      <w:szCs w:val="22"/>
                    </w:rPr>
                    <w:t>排气筒底部海拔高度/m</w:t>
                  </w:r>
                </w:p>
              </w:tc>
              <w:tc>
                <w:tcPr>
                  <w:tcW w:w="568" w:type="dxa"/>
                  <w:vMerge w:val="restart"/>
                  <w:shd w:val="clear" w:color="auto" w:fill="FFFFFF"/>
                  <w:vAlign w:val="center"/>
                </w:tcPr>
                <w:p>
                  <w:pPr>
                    <w:widowControl/>
                    <w:jc w:val="center"/>
                    <w:rPr>
                      <w:kern w:val="0"/>
                      <w:szCs w:val="22"/>
                    </w:rPr>
                  </w:pPr>
                  <w:r>
                    <w:rPr>
                      <w:kern w:val="0"/>
                      <w:szCs w:val="22"/>
                    </w:rPr>
                    <w:t>排气筒高度/m</w:t>
                  </w:r>
                </w:p>
              </w:tc>
              <w:tc>
                <w:tcPr>
                  <w:tcW w:w="620" w:type="dxa"/>
                  <w:vMerge w:val="restart"/>
                  <w:shd w:val="clear" w:color="auto" w:fill="FFFFFF"/>
                  <w:vAlign w:val="center"/>
                </w:tcPr>
                <w:p>
                  <w:pPr>
                    <w:widowControl/>
                    <w:jc w:val="center"/>
                    <w:rPr>
                      <w:kern w:val="0"/>
                      <w:szCs w:val="22"/>
                    </w:rPr>
                  </w:pPr>
                  <w:r>
                    <w:rPr>
                      <w:kern w:val="0"/>
                      <w:szCs w:val="22"/>
                    </w:rPr>
                    <w:t>排气筒出口内径/m</w:t>
                  </w:r>
                </w:p>
              </w:tc>
              <w:tc>
                <w:tcPr>
                  <w:tcW w:w="767" w:type="dxa"/>
                  <w:vMerge w:val="restart"/>
                  <w:shd w:val="clear" w:color="auto" w:fill="FFFFFF"/>
                  <w:vAlign w:val="center"/>
                </w:tcPr>
                <w:p>
                  <w:pPr>
                    <w:widowControl/>
                    <w:jc w:val="center"/>
                    <w:rPr>
                      <w:kern w:val="0"/>
                      <w:szCs w:val="22"/>
                    </w:rPr>
                  </w:pPr>
                  <w:r>
                    <w:rPr>
                      <w:kern w:val="0"/>
                      <w:szCs w:val="22"/>
                    </w:rPr>
                    <w:t>烟气流速/（m/s）</w:t>
                  </w:r>
                </w:p>
              </w:tc>
              <w:tc>
                <w:tcPr>
                  <w:tcW w:w="685" w:type="dxa"/>
                  <w:vMerge w:val="restart"/>
                  <w:shd w:val="clear" w:color="auto" w:fill="FFFFFF"/>
                  <w:vAlign w:val="center"/>
                </w:tcPr>
                <w:p>
                  <w:pPr>
                    <w:widowControl/>
                    <w:jc w:val="center"/>
                    <w:rPr>
                      <w:kern w:val="0"/>
                      <w:szCs w:val="22"/>
                    </w:rPr>
                  </w:pPr>
                  <w:r>
                    <w:rPr>
                      <w:kern w:val="0"/>
                      <w:szCs w:val="22"/>
                    </w:rPr>
                    <w:t>烟气温度/℃</w:t>
                  </w:r>
                </w:p>
              </w:tc>
              <w:tc>
                <w:tcPr>
                  <w:tcW w:w="705" w:type="dxa"/>
                  <w:vMerge w:val="restart"/>
                  <w:shd w:val="clear" w:color="auto" w:fill="FFFFFF"/>
                  <w:vAlign w:val="center"/>
                </w:tcPr>
                <w:p>
                  <w:pPr>
                    <w:widowControl/>
                    <w:jc w:val="center"/>
                    <w:rPr>
                      <w:kern w:val="0"/>
                      <w:szCs w:val="22"/>
                    </w:rPr>
                  </w:pPr>
                  <w:r>
                    <w:rPr>
                      <w:kern w:val="0"/>
                      <w:szCs w:val="22"/>
                    </w:rPr>
                    <w:t>年排放小时数/h</w:t>
                  </w:r>
                </w:p>
              </w:tc>
              <w:tc>
                <w:tcPr>
                  <w:tcW w:w="908" w:type="dxa"/>
                  <w:vMerge w:val="restart"/>
                  <w:shd w:val="clear" w:color="auto" w:fill="FFFFFF"/>
                  <w:vAlign w:val="center"/>
                </w:tcPr>
                <w:p>
                  <w:pPr>
                    <w:widowControl/>
                    <w:jc w:val="center"/>
                    <w:rPr>
                      <w:kern w:val="0"/>
                      <w:szCs w:val="22"/>
                    </w:rPr>
                  </w:pPr>
                  <w:r>
                    <w:rPr>
                      <w:kern w:val="0"/>
                      <w:szCs w:val="22"/>
                    </w:rPr>
                    <w:t>排放工况</w:t>
                  </w:r>
                </w:p>
              </w:tc>
              <w:tc>
                <w:tcPr>
                  <w:tcW w:w="1090" w:type="dxa"/>
                  <w:vMerge w:val="restart"/>
                  <w:shd w:val="clear" w:color="auto" w:fill="FFFFFF"/>
                  <w:vAlign w:val="center"/>
                </w:tcPr>
                <w:p>
                  <w:pPr>
                    <w:widowControl/>
                    <w:jc w:val="center"/>
                    <w:rPr>
                      <w:kern w:val="0"/>
                      <w:szCs w:val="22"/>
                    </w:rPr>
                  </w:pPr>
                  <w:r>
                    <w:rPr>
                      <w:kern w:val="0"/>
                      <w:szCs w:val="22"/>
                    </w:rPr>
                    <w:t>排放速率/</w:t>
                  </w:r>
                </w:p>
                <w:p>
                  <w:pPr>
                    <w:widowControl/>
                    <w:jc w:val="center"/>
                    <w:rPr>
                      <w:kern w:val="0"/>
                      <w:szCs w:val="22"/>
                    </w:rPr>
                  </w:pPr>
                  <w:r>
                    <w:rPr>
                      <w:kern w:val="0"/>
                      <w:szCs w:val="22"/>
                    </w:rPr>
                    <w:t>(kg/h)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01" w:hRule="atLeast"/>
              </w:trPr>
              <w:tc>
                <w:tcPr>
                  <w:tcW w:w="391" w:type="dxa"/>
                  <w:vMerge w:val="continue"/>
                  <w:shd w:val="clear" w:color="auto" w:fill="FFFFFF"/>
                  <w:vAlign w:val="center"/>
                </w:tcPr>
                <w:p>
                  <w:pPr>
                    <w:widowControl/>
                    <w:jc w:val="center"/>
                    <w:rPr>
                      <w:kern w:val="0"/>
                      <w:szCs w:val="22"/>
                    </w:rPr>
                  </w:pPr>
                </w:p>
              </w:tc>
              <w:tc>
                <w:tcPr>
                  <w:tcW w:w="747" w:type="dxa"/>
                  <w:vMerge w:val="continue"/>
                  <w:shd w:val="clear" w:color="auto" w:fill="FFFFFF"/>
                  <w:vAlign w:val="center"/>
                </w:tcPr>
                <w:p>
                  <w:pPr>
                    <w:widowControl/>
                    <w:jc w:val="center"/>
                    <w:rPr>
                      <w:kern w:val="0"/>
                      <w:szCs w:val="22"/>
                    </w:rPr>
                  </w:pPr>
                </w:p>
              </w:tc>
              <w:tc>
                <w:tcPr>
                  <w:tcW w:w="868" w:type="dxa"/>
                  <w:shd w:val="clear" w:color="auto" w:fill="FFFFFF"/>
                  <w:vAlign w:val="center"/>
                </w:tcPr>
                <w:p>
                  <w:pPr>
                    <w:widowControl/>
                    <w:jc w:val="center"/>
                    <w:rPr>
                      <w:kern w:val="0"/>
                      <w:szCs w:val="22"/>
                    </w:rPr>
                  </w:pPr>
                  <w:r>
                    <w:rPr>
                      <w:i/>
                      <w:kern w:val="0"/>
                      <w:szCs w:val="22"/>
                    </w:rPr>
                    <w:t>X</w:t>
                  </w:r>
                </w:p>
              </w:tc>
              <w:tc>
                <w:tcPr>
                  <w:tcW w:w="984" w:type="dxa"/>
                  <w:shd w:val="clear" w:color="auto" w:fill="FFFFFF"/>
                  <w:vAlign w:val="center"/>
                </w:tcPr>
                <w:p>
                  <w:pPr>
                    <w:widowControl/>
                    <w:jc w:val="center"/>
                    <w:rPr>
                      <w:kern w:val="0"/>
                      <w:szCs w:val="22"/>
                    </w:rPr>
                  </w:pPr>
                  <w:r>
                    <w:rPr>
                      <w:i/>
                      <w:kern w:val="0"/>
                      <w:szCs w:val="22"/>
                    </w:rPr>
                    <w:t>Y</w:t>
                  </w:r>
                </w:p>
              </w:tc>
              <w:tc>
                <w:tcPr>
                  <w:tcW w:w="707" w:type="dxa"/>
                  <w:vMerge w:val="continue"/>
                  <w:shd w:val="clear" w:color="auto" w:fill="FFFFFF"/>
                  <w:vAlign w:val="center"/>
                </w:tcPr>
                <w:p>
                  <w:pPr>
                    <w:widowControl/>
                    <w:jc w:val="center"/>
                    <w:rPr>
                      <w:kern w:val="0"/>
                      <w:szCs w:val="22"/>
                    </w:rPr>
                  </w:pPr>
                </w:p>
              </w:tc>
              <w:tc>
                <w:tcPr>
                  <w:tcW w:w="568" w:type="dxa"/>
                  <w:vMerge w:val="continue"/>
                  <w:shd w:val="clear" w:color="auto" w:fill="FFFFFF"/>
                  <w:vAlign w:val="center"/>
                </w:tcPr>
                <w:p>
                  <w:pPr>
                    <w:widowControl/>
                    <w:jc w:val="center"/>
                    <w:rPr>
                      <w:kern w:val="0"/>
                      <w:szCs w:val="22"/>
                    </w:rPr>
                  </w:pPr>
                </w:p>
              </w:tc>
              <w:tc>
                <w:tcPr>
                  <w:tcW w:w="620" w:type="dxa"/>
                  <w:vMerge w:val="continue"/>
                  <w:shd w:val="clear" w:color="auto" w:fill="FFFFFF"/>
                  <w:vAlign w:val="center"/>
                </w:tcPr>
                <w:p>
                  <w:pPr>
                    <w:widowControl/>
                    <w:jc w:val="center"/>
                    <w:rPr>
                      <w:kern w:val="0"/>
                      <w:szCs w:val="22"/>
                    </w:rPr>
                  </w:pPr>
                </w:p>
              </w:tc>
              <w:tc>
                <w:tcPr>
                  <w:tcW w:w="767" w:type="dxa"/>
                  <w:vMerge w:val="continue"/>
                  <w:shd w:val="clear" w:color="auto" w:fill="FFFFFF"/>
                  <w:vAlign w:val="center"/>
                </w:tcPr>
                <w:p>
                  <w:pPr>
                    <w:widowControl/>
                    <w:jc w:val="center"/>
                    <w:rPr>
                      <w:kern w:val="0"/>
                      <w:szCs w:val="22"/>
                    </w:rPr>
                  </w:pPr>
                </w:p>
              </w:tc>
              <w:tc>
                <w:tcPr>
                  <w:tcW w:w="685" w:type="dxa"/>
                  <w:vMerge w:val="continue"/>
                  <w:shd w:val="clear" w:color="auto" w:fill="FFFFFF"/>
                  <w:vAlign w:val="center"/>
                </w:tcPr>
                <w:p>
                  <w:pPr>
                    <w:widowControl/>
                    <w:jc w:val="center"/>
                    <w:rPr>
                      <w:kern w:val="0"/>
                      <w:szCs w:val="22"/>
                    </w:rPr>
                  </w:pPr>
                </w:p>
              </w:tc>
              <w:tc>
                <w:tcPr>
                  <w:tcW w:w="705" w:type="dxa"/>
                  <w:vMerge w:val="continue"/>
                  <w:shd w:val="clear" w:color="auto" w:fill="FFFFFF"/>
                  <w:vAlign w:val="center"/>
                </w:tcPr>
                <w:p>
                  <w:pPr>
                    <w:widowControl/>
                    <w:jc w:val="center"/>
                    <w:rPr>
                      <w:kern w:val="0"/>
                      <w:szCs w:val="22"/>
                    </w:rPr>
                  </w:pPr>
                </w:p>
              </w:tc>
              <w:tc>
                <w:tcPr>
                  <w:tcW w:w="908" w:type="dxa"/>
                  <w:vMerge w:val="continue"/>
                  <w:shd w:val="clear" w:color="auto" w:fill="FFFFFF"/>
                  <w:vAlign w:val="center"/>
                </w:tcPr>
                <w:p>
                  <w:pPr>
                    <w:widowControl/>
                    <w:jc w:val="center"/>
                    <w:rPr>
                      <w:kern w:val="0"/>
                      <w:szCs w:val="22"/>
                    </w:rPr>
                  </w:pPr>
                </w:p>
              </w:tc>
              <w:tc>
                <w:tcPr>
                  <w:tcW w:w="1090" w:type="dxa"/>
                  <w:vMerge w:val="continue"/>
                  <w:shd w:val="clear" w:color="auto" w:fill="FFFFFF"/>
                  <w:vAlign w:val="center"/>
                </w:tcPr>
                <w:p>
                  <w:pPr>
                    <w:widowControl/>
                    <w:jc w:val="center"/>
                    <w:rPr>
                      <w:kern w:val="0"/>
                      <w:szCs w:val="22"/>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01" w:hRule="atLeast"/>
              </w:trPr>
              <w:tc>
                <w:tcPr>
                  <w:tcW w:w="391" w:type="dxa"/>
                  <w:shd w:val="clear" w:color="auto" w:fill="FFFFFF"/>
                  <w:vAlign w:val="center"/>
                </w:tcPr>
                <w:p>
                  <w:pPr>
                    <w:widowControl/>
                    <w:jc w:val="center"/>
                    <w:rPr>
                      <w:kern w:val="0"/>
                      <w:szCs w:val="22"/>
                    </w:rPr>
                  </w:pPr>
                  <w:r>
                    <w:rPr>
                      <w:kern w:val="0"/>
                      <w:szCs w:val="22"/>
                    </w:rPr>
                    <w:t>1</w:t>
                  </w:r>
                </w:p>
              </w:tc>
              <w:tc>
                <w:tcPr>
                  <w:tcW w:w="747" w:type="dxa"/>
                  <w:shd w:val="clear" w:color="auto" w:fill="FFFFFF"/>
                  <w:vAlign w:val="center"/>
                </w:tcPr>
                <w:p>
                  <w:pPr>
                    <w:widowControl/>
                    <w:jc w:val="center"/>
                    <w:rPr>
                      <w:kern w:val="0"/>
                      <w:szCs w:val="22"/>
                    </w:rPr>
                  </w:pPr>
                  <w:r>
                    <w:rPr>
                      <w:rFonts w:hint="eastAsia"/>
                      <w:kern w:val="0"/>
                      <w:szCs w:val="22"/>
                    </w:rPr>
                    <w:t>颗粒物</w:t>
                  </w:r>
                </w:p>
              </w:tc>
              <w:tc>
                <w:tcPr>
                  <w:tcW w:w="868" w:type="dxa"/>
                  <w:vMerge w:val="restart"/>
                  <w:shd w:val="clear" w:color="auto" w:fill="FFFFFF"/>
                  <w:vAlign w:val="center"/>
                </w:tcPr>
                <w:p>
                  <w:pPr>
                    <w:widowControl/>
                    <w:jc w:val="center"/>
                    <w:rPr>
                      <w:kern w:val="0"/>
                      <w:szCs w:val="22"/>
                    </w:rPr>
                  </w:pPr>
                  <w:r>
                    <w:rPr>
                      <w:kern w:val="0"/>
                      <w:szCs w:val="22"/>
                    </w:rPr>
                    <w:t>109°6'15''</w:t>
                  </w:r>
                </w:p>
              </w:tc>
              <w:tc>
                <w:tcPr>
                  <w:tcW w:w="984" w:type="dxa"/>
                  <w:vMerge w:val="restart"/>
                  <w:shd w:val="clear" w:color="auto" w:fill="FFFFFF"/>
                  <w:vAlign w:val="center"/>
                </w:tcPr>
                <w:p>
                  <w:pPr>
                    <w:widowControl/>
                    <w:jc w:val="center"/>
                    <w:rPr>
                      <w:kern w:val="0"/>
                      <w:szCs w:val="22"/>
                    </w:rPr>
                  </w:pPr>
                  <w:r>
                    <w:rPr>
                      <w:kern w:val="0"/>
                      <w:szCs w:val="22"/>
                    </w:rPr>
                    <w:t>33°39'40''</w:t>
                  </w:r>
                </w:p>
              </w:tc>
              <w:tc>
                <w:tcPr>
                  <w:tcW w:w="707" w:type="dxa"/>
                  <w:vMerge w:val="restart"/>
                  <w:shd w:val="clear" w:color="auto" w:fill="FFFFFF"/>
                  <w:vAlign w:val="center"/>
                </w:tcPr>
                <w:p>
                  <w:pPr>
                    <w:widowControl/>
                    <w:jc w:val="center"/>
                    <w:rPr>
                      <w:kern w:val="0"/>
                      <w:szCs w:val="22"/>
                    </w:rPr>
                  </w:pPr>
                  <w:r>
                    <w:rPr>
                      <w:rFonts w:hint="eastAsia"/>
                      <w:kern w:val="0"/>
                      <w:szCs w:val="22"/>
                    </w:rPr>
                    <w:t>807</w:t>
                  </w:r>
                </w:p>
              </w:tc>
              <w:tc>
                <w:tcPr>
                  <w:tcW w:w="568" w:type="dxa"/>
                  <w:vMerge w:val="restart"/>
                  <w:shd w:val="clear" w:color="auto" w:fill="FFFFFF"/>
                  <w:vAlign w:val="center"/>
                </w:tcPr>
                <w:p>
                  <w:pPr>
                    <w:widowControl/>
                    <w:jc w:val="center"/>
                    <w:rPr>
                      <w:kern w:val="0"/>
                      <w:szCs w:val="22"/>
                    </w:rPr>
                  </w:pPr>
                  <w:r>
                    <w:rPr>
                      <w:rFonts w:hint="eastAsia"/>
                      <w:kern w:val="0"/>
                      <w:szCs w:val="22"/>
                    </w:rPr>
                    <w:t>1</w:t>
                  </w:r>
                  <w:r>
                    <w:rPr>
                      <w:kern w:val="0"/>
                      <w:szCs w:val="22"/>
                    </w:rPr>
                    <w:t>2</w:t>
                  </w:r>
                </w:p>
              </w:tc>
              <w:tc>
                <w:tcPr>
                  <w:tcW w:w="620" w:type="dxa"/>
                  <w:vMerge w:val="restart"/>
                  <w:shd w:val="clear" w:color="auto" w:fill="FFFFFF"/>
                  <w:vAlign w:val="center"/>
                </w:tcPr>
                <w:p>
                  <w:pPr>
                    <w:widowControl/>
                    <w:jc w:val="center"/>
                    <w:rPr>
                      <w:kern w:val="0"/>
                      <w:szCs w:val="22"/>
                    </w:rPr>
                  </w:pPr>
                  <w:r>
                    <w:rPr>
                      <w:kern w:val="0"/>
                      <w:szCs w:val="22"/>
                    </w:rPr>
                    <w:t>0.</w:t>
                  </w:r>
                  <w:r>
                    <w:rPr>
                      <w:rFonts w:hint="eastAsia"/>
                      <w:kern w:val="0"/>
                      <w:szCs w:val="22"/>
                    </w:rPr>
                    <w:t>38</w:t>
                  </w:r>
                </w:p>
              </w:tc>
              <w:tc>
                <w:tcPr>
                  <w:tcW w:w="767" w:type="dxa"/>
                  <w:vMerge w:val="restart"/>
                  <w:shd w:val="clear" w:color="auto" w:fill="FFFFFF"/>
                  <w:vAlign w:val="center"/>
                </w:tcPr>
                <w:p>
                  <w:pPr>
                    <w:widowControl/>
                    <w:jc w:val="center"/>
                    <w:rPr>
                      <w:kern w:val="0"/>
                      <w:szCs w:val="22"/>
                    </w:rPr>
                  </w:pPr>
                  <w:r>
                    <w:rPr>
                      <w:rFonts w:hint="eastAsia"/>
                      <w:kern w:val="0"/>
                      <w:szCs w:val="22"/>
                    </w:rPr>
                    <w:t>9.3</w:t>
                  </w:r>
                </w:p>
              </w:tc>
              <w:tc>
                <w:tcPr>
                  <w:tcW w:w="685" w:type="dxa"/>
                  <w:vMerge w:val="restart"/>
                  <w:shd w:val="clear" w:color="auto" w:fill="FFFFFF"/>
                  <w:vAlign w:val="center"/>
                </w:tcPr>
                <w:p>
                  <w:pPr>
                    <w:widowControl/>
                    <w:jc w:val="center"/>
                    <w:rPr>
                      <w:kern w:val="0"/>
                      <w:szCs w:val="22"/>
                    </w:rPr>
                  </w:pPr>
                  <w:r>
                    <w:rPr>
                      <w:kern w:val="0"/>
                      <w:szCs w:val="22"/>
                    </w:rPr>
                    <w:t>40</w:t>
                  </w:r>
                </w:p>
              </w:tc>
              <w:tc>
                <w:tcPr>
                  <w:tcW w:w="705" w:type="dxa"/>
                  <w:vMerge w:val="restart"/>
                  <w:shd w:val="clear" w:color="auto" w:fill="FFFFFF"/>
                  <w:vAlign w:val="center"/>
                </w:tcPr>
                <w:p>
                  <w:pPr>
                    <w:widowControl/>
                    <w:jc w:val="center"/>
                    <w:rPr>
                      <w:kern w:val="0"/>
                      <w:szCs w:val="22"/>
                    </w:rPr>
                  </w:pPr>
                  <w:r>
                    <w:rPr>
                      <w:rFonts w:hint="eastAsia"/>
                      <w:kern w:val="0"/>
                      <w:szCs w:val="22"/>
                    </w:rPr>
                    <w:t>1620</w:t>
                  </w:r>
                </w:p>
              </w:tc>
              <w:tc>
                <w:tcPr>
                  <w:tcW w:w="908" w:type="dxa"/>
                  <w:vMerge w:val="restart"/>
                  <w:shd w:val="clear" w:color="auto" w:fill="FFFFFF"/>
                  <w:vAlign w:val="center"/>
                </w:tcPr>
                <w:p>
                  <w:pPr>
                    <w:widowControl/>
                    <w:jc w:val="center"/>
                    <w:rPr>
                      <w:kern w:val="0"/>
                      <w:szCs w:val="22"/>
                    </w:rPr>
                  </w:pPr>
                  <w:r>
                    <w:rPr>
                      <w:kern w:val="0"/>
                      <w:szCs w:val="22"/>
                    </w:rPr>
                    <w:t>正常工况</w:t>
                  </w:r>
                </w:p>
              </w:tc>
              <w:tc>
                <w:tcPr>
                  <w:tcW w:w="1090" w:type="dxa"/>
                  <w:shd w:val="clear" w:color="auto" w:fill="FFFFFF"/>
                  <w:vAlign w:val="center"/>
                </w:tcPr>
                <w:p>
                  <w:pPr>
                    <w:widowControl/>
                    <w:jc w:val="center"/>
                    <w:rPr>
                      <w:kern w:val="0"/>
                      <w:szCs w:val="22"/>
                    </w:rPr>
                  </w:pPr>
                  <w:r>
                    <w:rPr>
                      <w:rFonts w:hint="eastAsia"/>
                      <w:kern w:val="0"/>
                      <w:szCs w:val="22"/>
                    </w:rPr>
                    <w:t>0.012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01" w:hRule="atLeast"/>
              </w:trPr>
              <w:tc>
                <w:tcPr>
                  <w:tcW w:w="391" w:type="dxa"/>
                  <w:shd w:val="clear" w:color="auto" w:fill="FFFFFF"/>
                  <w:vAlign w:val="center"/>
                </w:tcPr>
                <w:p>
                  <w:pPr>
                    <w:widowControl/>
                    <w:jc w:val="center"/>
                    <w:rPr>
                      <w:kern w:val="0"/>
                      <w:szCs w:val="22"/>
                    </w:rPr>
                  </w:pPr>
                  <w:r>
                    <w:rPr>
                      <w:kern w:val="0"/>
                      <w:szCs w:val="22"/>
                    </w:rPr>
                    <w:t>2</w:t>
                  </w:r>
                </w:p>
              </w:tc>
              <w:tc>
                <w:tcPr>
                  <w:tcW w:w="747" w:type="dxa"/>
                  <w:shd w:val="clear" w:color="auto" w:fill="FFFFFF"/>
                  <w:vAlign w:val="center"/>
                </w:tcPr>
                <w:p>
                  <w:pPr>
                    <w:widowControl/>
                    <w:jc w:val="center"/>
                    <w:rPr>
                      <w:kern w:val="0"/>
                      <w:szCs w:val="22"/>
                    </w:rPr>
                  </w:pPr>
                  <w:r>
                    <w:rPr>
                      <w:rFonts w:hint="eastAsia"/>
                      <w:kern w:val="0"/>
                      <w:szCs w:val="22"/>
                    </w:rPr>
                    <w:t>N</w:t>
                  </w:r>
                  <w:r>
                    <w:rPr>
                      <w:kern w:val="0"/>
                      <w:szCs w:val="22"/>
                    </w:rPr>
                    <w:t>O</w:t>
                  </w:r>
                  <w:r>
                    <w:rPr>
                      <w:kern w:val="0"/>
                      <w:szCs w:val="22"/>
                      <w:vertAlign w:val="subscript"/>
                    </w:rPr>
                    <w:t>X</w:t>
                  </w:r>
                </w:p>
              </w:tc>
              <w:tc>
                <w:tcPr>
                  <w:tcW w:w="868" w:type="dxa"/>
                  <w:vMerge w:val="continue"/>
                  <w:shd w:val="clear" w:color="auto" w:fill="FFFFFF"/>
                  <w:vAlign w:val="center"/>
                </w:tcPr>
                <w:p>
                  <w:pPr>
                    <w:widowControl/>
                    <w:jc w:val="center"/>
                    <w:rPr>
                      <w:kern w:val="0"/>
                      <w:szCs w:val="22"/>
                    </w:rPr>
                  </w:pPr>
                </w:p>
              </w:tc>
              <w:tc>
                <w:tcPr>
                  <w:tcW w:w="984" w:type="dxa"/>
                  <w:vMerge w:val="continue"/>
                  <w:shd w:val="clear" w:color="auto" w:fill="FFFFFF"/>
                  <w:vAlign w:val="center"/>
                </w:tcPr>
                <w:p>
                  <w:pPr>
                    <w:widowControl/>
                    <w:jc w:val="center"/>
                    <w:rPr>
                      <w:kern w:val="0"/>
                      <w:szCs w:val="22"/>
                    </w:rPr>
                  </w:pPr>
                </w:p>
              </w:tc>
              <w:tc>
                <w:tcPr>
                  <w:tcW w:w="707" w:type="dxa"/>
                  <w:vMerge w:val="continue"/>
                  <w:shd w:val="clear" w:color="auto" w:fill="FFFFFF"/>
                  <w:vAlign w:val="center"/>
                </w:tcPr>
                <w:p>
                  <w:pPr>
                    <w:widowControl/>
                    <w:jc w:val="center"/>
                    <w:rPr>
                      <w:kern w:val="0"/>
                      <w:szCs w:val="22"/>
                    </w:rPr>
                  </w:pPr>
                </w:p>
              </w:tc>
              <w:tc>
                <w:tcPr>
                  <w:tcW w:w="568" w:type="dxa"/>
                  <w:vMerge w:val="continue"/>
                  <w:shd w:val="clear" w:color="auto" w:fill="FFFFFF"/>
                  <w:vAlign w:val="center"/>
                </w:tcPr>
                <w:p>
                  <w:pPr>
                    <w:widowControl/>
                    <w:jc w:val="center"/>
                    <w:rPr>
                      <w:kern w:val="0"/>
                      <w:szCs w:val="22"/>
                    </w:rPr>
                  </w:pPr>
                </w:p>
              </w:tc>
              <w:tc>
                <w:tcPr>
                  <w:tcW w:w="620" w:type="dxa"/>
                  <w:vMerge w:val="continue"/>
                  <w:shd w:val="clear" w:color="auto" w:fill="FFFFFF"/>
                  <w:vAlign w:val="center"/>
                </w:tcPr>
                <w:p>
                  <w:pPr>
                    <w:widowControl/>
                    <w:jc w:val="center"/>
                    <w:rPr>
                      <w:kern w:val="0"/>
                      <w:szCs w:val="22"/>
                    </w:rPr>
                  </w:pPr>
                </w:p>
              </w:tc>
              <w:tc>
                <w:tcPr>
                  <w:tcW w:w="767" w:type="dxa"/>
                  <w:vMerge w:val="continue"/>
                  <w:shd w:val="clear" w:color="auto" w:fill="FFFFFF"/>
                  <w:vAlign w:val="center"/>
                </w:tcPr>
                <w:p>
                  <w:pPr>
                    <w:widowControl/>
                    <w:jc w:val="center"/>
                    <w:rPr>
                      <w:kern w:val="0"/>
                      <w:szCs w:val="22"/>
                    </w:rPr>
                  </w:pPr>
                </w:p>
              </w:tc>
              <w:tc>
                <w:tcPr>
                  <w:tcW w:w="685" w:type="dxa"/>
                  <w:vMerge w:val="continue"/>
                  <w:shd w:val="clear" w:color="auto" w:fill="FFFFFF"/>
                  <w:vAlign w:val="center"/>
                </w:tcPr>
                <w:p>
                  <w:pPr>
                    <w:widowControl/>
                    <w:jc w:val="center"/>
                    <w:rPr>
                      <w:kern w:val="0"/>
                      <w:szCs w:val="22"/>
                    </w:rPr>
                  </w:pPr>
                </w:p>
              </w:tc>
              <w:tc>
                <w:tcPr>
                  <w:tcW w:w="705" w:type="dxa"/>
                  <w:vMerge w:val="continue"/>
                  <w:shd w:val="clear" w:color="auto" w:fill="FFFFFF"/>
                  <w:vAlign w:val="center"/>
                </w:tcPr>
                <w:p>
                  <w:pPr>
                    <w:widowControl/>
                    <w:jc w:val="center"/>
                    <w:rPr>
                      <w:kern w:val="0"/>
                      <w:szCs w:val="22"/>
                    </w:rPr>
                  </w:pPr>
                </w:p>
              </w:tc>
              <w:tc>
                <w:tcPr>
                  <w:tcW w:w="908" w:type="dxa"/>
                  <w:vMerge w:val="continue"/>
                  <w:shd w:val="clear" w:color="auto" w:fill="FFFFFF"/>
                  <w:vAlign w:val="center"/>
                </w:tcPr>
                <w:p>
                  <w:pPr>
                    <w:widowControl/>
                    <w:jc w:val="center"/>
                    <w:rPr>
                      <w:kern w:val="0"/>
                      <w:szCs w:val="22"/>
                    </w:rPr>
                  </w:pPr>
                </w:p>
              </w:tc>
              <w:tc>
                <w:tcPr>
                  <w:tcW w:w="1090" w:type="dxa"/>
                  <w:shd w:val="clear" w:color="auto" w:fill="FFFFFF"/>
                  <w:vAlign w:val="center"/>
                </w:tcPr>
                <w:p>
                  <w:pPr>
                    <w:widowControl/>
                    <w:jc w:val="center"/>
                    <w:rPr>
                      <w:kern w:val="0"/>
                      <w:szCs w:val="22"/>
                    </w:rPr>
                  </w:pPr>
                  <w:r>
                    <w:rPr>
                      <w:rFonts w:hint="eastAsia"/>
                      <w:kern w:val="0"/>
                      <w:szCs w:val="22"/>
                    </w:rPr>
                    <w:t>0.114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Ex>
              <w:trPr>
                <w:trHeight w:val="301" w:hRule="atLeast"/>
              </w:trPr>
              <w:tc>
                <w:tcPr>
                  <w:tcW w:w="391" w:type="dxa"/>
                  <w:shd w:val="clear" w:color="auto" w:fill="FFFFFF"/>
                  <w:vAlign w:val="center"/>
                </w:tcPr>
                <w:p>
                  <w:pPr>
                    <w:widowControl/>
                    <w:jc w:val="center"/>
                    <w:rPr>
                      <w:kern w:val="0"/>
                      <w:szCs w:val="22"/>
                    </w:rPr>
                  </w:pPr>
                  <w:r>
                    <w:rPr>
                      <w:rFonts w:hint="eastAsia"/>
                      <w:kern w:val="0"/>
                      <w:szCs w:val="22"/>
                    </w:rPr>
                    <w:t>3</w:t>
                  </w:r>
                </w:p>
              </w:tc>
              <w:tc>
                <w:tcPr>
                  <w:tcW w:w="747" w:type="dxa"/>
                  <w:shd w:val="clear" w:color="auto" w:fill="FFFFFF"/>
                  <w:vAlign w:val="center"/>
                </w:tcPr>
                <w:p>
                  <w:pPr>
                    <w:widowControl/>
                    <w:jc w:val="center"/>
                    <w:rPr>
                      <w:kern w:val="0"/>
                      <w:szCs w:val="22"/>
                    </w:rPr>
                  </w:pPr>
                  <w:r>
                    <w:rPr>
                      <w:rFonts w:hint="eastAsia"/>
                      <w:kern w:val="0"/>
                      <w:szCs w:val="22"/>
                    </w:rPr>
                    <w:t>SO</w:t>
                  </w:r>
                  <w:r>
                    <w:rPr>
                      <w:kern w:val="0"/>
                      <w:szCs w:val="22"/>
                      <w:vertAlign w:val="subscript"/>
                    </w:rPr>
                    <w:t>2</w:t>
                  </w:r>
                </w:p>
              </w:tc>
              <w:tc>
                <w:tcPr>
                  <w:tcW w:w="868" w:type="dxa"/>
                  <w:vMerge w:val="continue"/>
                  <w:shd w:val="clear" w:color="auto" w:fill="FFFFFF"/>
                  <w:vAlign w:val="center"/>
                </w:tcPr>
                <w:p>
                  <w:pPr>
                    <w:widowControl/>
                    <w:jc w:val="center"/>
                    <w:rPr>
                      <w:kern w:val="0"/>
                      <w:szCs w:val="22"/>
                    </w:rPr>
                  </w:pPr>
                </w:p>
              </w:tc>
              <w:tc>
                <w:tcPr>
                  <w:tcW w:w="984" w:type="dxa"/>
                  <w:vMerge w:val="continue"/>
                  <w:shd w:val="clear" w:color="auto" w:fill="FFFFFF"/>
                  <w:vAlign w:val="center"/>
                </w:tcPr>
                <w:p>
                  <w:pPr>
                    <w:widowControl/>
                    <w:jc w:val="center"/>
                    <w:rPr>
                      <w:kern w:val="0"/>
                      <w:szCs w:val="22"/>
                    </w:rPr>
                  </w:pPr>
                </w:p>
              </w:tc>
              <w:tc>
                <w:tcPr>
                  <w:tcW w:w="707" w:type="dxa"/>
                  <w:vMerge w:val="continue"/>
                  <w:shd w:val="clear" w:color="auto" w:fill="FFFFFF"/>
                  <w:vAlign w:val="center"/>
                </w:tcPr>
                <w:p>
                  <w:pPr>
                    <w:widowControl/>
                    <w:jc w:val="center"/>
                    <w:rPr>
                      <w:kern w:val="0"/>
                      <w:szCs w:val="22"/>
                    </w:rPr>
                  </w:pPr>
                </w:p>
              </w:tc>
              <w:tc>
                <w:tcPr>
                  <w:tcW w:w="568" w:type="dxa"/>
                  <w:vMerge w:val="continue"/>
                  <w:shd w:val="clear" w:color="auto" w:fill="FFFFFF"/>
                  <w:vAlign w:val="center"/>
                </w:tcPr>
                <w:p>
                  <w:pPr>
                    <w:widowControl/>
                    <w:jc w:val="center"/>
                    <w:rPr>
                      <w:kern w:val="0"/>
                      <w:szCs w:val="22"/>
                    </w:rPr>
                  </w:pPr>
                </w:p>
              </w:tc>
              <w:tc>
                <w:tcPr>
                  <w:tcW w:w="620" w:type="dxa"/>
                  <w:vMerge w:val="continue"/>
                  <w:shd w:val="clear" w:color="auto" w:fill="FFFFFF"/>
                  <w:vAlign w:val="center"/>
                </w:tcPr>
                <w:p>
                  <w:pPr>
                    <w:widowControl/>
                    <w:jc w:val="center"/>
                    <w:rPr>
                      <w:kern w:val="0"/>
                      <w:szCs w:val="22"/>
                    </w:rPr>
                  </w:pPr>
                </w:p>
              </w:tc>
              <w:tc>
                <w:tcPr>
                  <w:tcW w:w="767" w:type="dxa"/>
                  <w:vMerge w:val="continue"/>
                  <w:shd w:val="clear" w:color="auto" w:fill="FFFFFF"/>
                  <w:vAlign w:val="center"/>
                </w:tcPr>
                <w:p>
                  <w:pPr>
                    <w:widowControl/>
                    <w:jc w:val="center"/>
                    <w:rPr>
                      <w:kern w:val="0"/>
                      <w:szCs w:val="22"/>
                    </w:rPr>
                  </w:pPr>
                </w:p>
              </w:tc>
              <w:tc>
                <w:tcPr>
                  <w:tcW w:w="685" w:type="dxa"/>
                  <w:vMerge w:val="continue"/>
                  <w:shd w:val="clear" w:color="auto" w:fill="FFFFFF"/>
                  <w:vAlign w:val="center"/>
                </w:tcPr>
                <w:p>
                  <w:pPr>
                    <w:widowControl/>
                    <w:jc w:val="center"/>
                    <w:rPr>
                      <w:kern w:val="0"/>
                      <w:szCs w:val="22"/>
                    </w:rPr>
                  </w:pPr>
                </w:p>
              </w:tc>
              <w:tc>
                <w:tcPr>
                  <w:tcW w:w="705" w:type="dxa"/>
                  <w:vMerge w:val="continue"/>
                  <w:shd w:val="clear" w:color="auto" w:fill="FFFFFF"/>
                  <w:vAlign w:val="center"/>
                </w:tcPr>
                <w:p>
                  <w:pPr>
                    <w:widowControl/>
                    <w:jc w:val="center"/>
                    <w:rPr>
                      <w:kern w:val="0"/>
                      <w:szCs w:val="22"/>
                    </w:rPr>
                  </w:pPr>
                </w:p>
              </w:tc>
              <w:tc>
                <w:tcPr>
                  <w:tcW w:w="908" w:type="dxa"/>
                  <w:vMerge w:val="continue"/>
                  <w:shd w:val="clear" w:color="auto" w:fill="FFFFFF"/>
                  <w:vAlign w:val="center"/>
                </w:tcPr>
                <w:p>
                  <w:pPr>
                    <w:widowControl/>
                    <w:jc w:val="center"/>
                    <w:rPr>
                      <w:kern w:val="0"/>
                      <w:szCs w:val="22"/>
                    </w:rPr>
                  </w:pPr>
                </w:p>
              </w:tc>
              <w:tc>
                <w:tcPr>
                  <w:tcW w:w="1090" w:type="dxa"/>
                  <w:shd w:val="clear" w:color="auto" w:fill="FFFFFF"/>
                  <w:vAlign w:val="center"/>
                </w:tcPr>
                <w:p>
                  <w:pPr>
                    <w:widowControl/>
                    <w:jc w:val="center"/>
                    <w:rPr>
                      <w:kern w:val="0"/>
                      <w:szCs w:val="22"/>
                    </w:rPr>
                  </w:pPr>
                  <w:r>
                    <w:rPr>
                      <w:rFonts w:hint="eastAsia"/>
                      <w:kern w:val="0"/>
                      <w:szCs w:val="22"/>
                    </w:rPr>
                    <w:t>0.011</w:t>
                  </w:r>
                </w:p>
              </w:tc>
            </w:tr>
          </w:tbl>
          <w:p>
            <w:pPr>
              <w:spacing w:line="360" w:lineRule="auto"/>
              <w:ind w:firstLine="480" w:firstLineChars="200"/>
              <w:rPr>
                <w:sz w:val="24"/>
              </w:rPr>
            </w:pPr>
            <w:r>
              <w:rPr>
                <w:sz w:val="24"/>
              </w:rPr>
              <w:t>项目</w:t>
            </w:r>
            <w:r>
              <w:rPr>
                <w:rFonts w:hint="eastAsia"/>
                <w:sz w:val="24"/>
              </w:rPr>
              <w:t>锅炉燃烧废气预测结果</w:t>
            </w:r>
            <w:r>
              <w:rPr>
                <w:sz w:val="24"/>
              </w:rPr>
              <w:t>见表</w:t>
            </w:r>
            <w:r>
              <w:rPr>
                <w:rFonts w:hint="eastAsia"/>
                <w:sz w:val="24"/>
              </w:rPr>
              <w:t>17</w:t>
            </w:r>
            <w:r>
              <w:rPr>
                <w:sz w:val="24"/>
              </w:rPr>
              <w:t>。</w:t>
            </w:r>
          </w:p>
          <w:p>
            <w:pPr>
              <w:pStyle w:val="2"/>
              <w:spacing w:line="360" w:lineRule="auto"/>
              <w:ind w:left="0" w:leftChars="0" w:firstLine="480" w:firstLineChars="200"/>
              <w:jc w:val="center"/>
              <w:rPr>
                <w:rFonts w:eastAsia="黑体"/>
              </w:rPr>
            </w:pPr>
          </w:p>
          <w:p>
            <w:pPr>
              <w:pStyle w:val="2"/>
              <w:spacing w:line="360" w:lineRule="auto"/>
              <w:ind w:left="0" w:leftChars="0" w:firstLine="480" w:firstLineChars="200"/>
              <w:jc w:val="center"/>
              <w:rPr>
                <w:rFonts w:eastAsia="黑体"/>
              </w:rPr>
            </w:pPr>
          </w:p>
          <w:p>
            <w:pPr>
              <w:pStyle w:val="2"/>
              <w:spacing w:line="360" w:lineRule="auto"/>
              <w:ind w:left="0" w:leftChars="0" w:firstLine="480" w:firstLineChars="200"/>
              <w:jc w:val="center"/>
              <w:rPr>
                <w:rFonts w:eastAsia="黑体"/>
              </w:rPr>
            </w:pPr>
          </w:p>
          <w:p>
            <w:pPr>
              <w:pStyle w:val="2"/>
              <w:spacing w:line="360" w:lineRule="auto"/>
              <w:ind w:left="0" w:leftChars="0" w:firstLine="480" w:firstLineChars="200"/>
              <w:jc w:val="center"/>
              <w:rPr>
                <w:rFonts w:eastAsia="黑体"/>
              </w:rPr>
            </w:pPr>
          </w:p>
          <w:p>
            <w:pPr>
              <w:pStyle w:val="2"/>
              <w:spacing w:line="360" w:lineRule="auto"/>
              <w:ind w:left="0" w:leftChars="0" w:firstLine="480" w:firstLineChars="200"/>
              <w:jc w:val="center"/>
              <w:rPr>
                <w:rFonts w:eastAsia="黑体"/>
              </w:rPr>
            </w:pPr>
          </w:p>
          <w:p>
            <w:pPr>
              <w:pStyle w:val="2"/>
              <w:spacing w:line="360" w:lineRule="auto"/>
              <w:ind w:left="0" w:leftChars="0" w:firstLine="0" w:firstLineChars="0"/>
              <w:jc w:val="center"/>
              <w:rPr>
                <w:b/>
              </w:rPr>
            </w:pPr>
            <w:r>
              <w:rPr>
                <w:rFonts w:hint="eastAsia" w:eastAsia="黑体"/>
              </w:rPr>
              <w:t>表17</w:t>
            </w:r>
            <w:r>
              <w:rPr>
                <w:rFonts w:eastAsia="黑体"/>
              </w:rPr>
              <w:t xml:space="preserve"> </w:t>
            </w:r>
            <w:r>
              <w:rPr>
                <w:rFonts w:hint="eastAsia" w:eastAsia="黑体"/>
              </w:rPr>
              <w:t>本项目燃气锅炉污染物排放预测结果表</w:t>
            </w:r>
          </w:p>
          <w:tbl>
            <w:tblPr>
              <w:tblStyle w:val="25"/>
              <w:tblW w:w="834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275"/>
              <w:gridCol w:w="1276"/>
              <w:gridCol w:w="1308"/>
              <w:gridCol w:w="993"/>
              <w:gridCol w:w="1275"/>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vMerge w:val="restart"/>
                  <w:noWrap/>
                  <w:vAlign w:val="center"/>
                </w:tcPr>
                <w:p>
                  <w:pPr>
                    <w:jc w:val="center"/>
                    <w:rPr>
                      <w:rFonts w:cs="宋体"/>
                      <w:kern w:val="0"/>
                      <w:szCs w:val="20"/>
                    </w:rPr>
                  </w:pPr>
                  <w:r>
                    <w:rPr>
                      <w:rFonts w:hint="eastAsia" w:cs="宋体"/>
                      <w:kern w:val="0"/>
                      <w:szCs w:val="22"/>
                    </w:rPr>
                    <w:t>离源距离(m)</w:t>
                  </w:r>
                </w:p>
              </w:tc>
              <w:tc>
                <w:tcPr>
                  <w:tcW w:w="2551" w:type="dxa"/>
                  <w:gridSpan w:val="2"/>
                  <w:noWrap/>
                  <w:vAlign w:val="center"/>
                </w:tcPr>
                <w:p>
                  <w:pPr>
                    <w:widowControl/>
                    <w:jc w:val="center"/>
                    <w:rPr>
                      <w:rFonts w:cs="宋体"/>
                      <w:kern w:val="0"/>
                      <w:szCs w:val="22"/>
                    </w:rPr>
                  </w:pPr>
                  <w:r>
                    <w:rPr>
                      <w:rFonts w:hint="eastAsia" w:cs="宋体"/>
                      <w:kern w:val="0"/>
                      <w:szCs w:val="22"/>
                    </w:rPr>
                    <w:t>SO</w:t>
                  </w:r>
                  <w:r>
                    <w:rPr>
                      <w:rFonts w:hint="eastAsia" w:cs="宋体"/>
                      <w:kern w:val="0"/>
                      <w:szCs w:val="22"/>
                      <w:vertAlign w:val="subscript"/>
                    </w:rPr>
                    <w:t>2</w:t>
                  </w:r>
                </w:p>
              </w:tc>
              <w:tc>
                <w:tcPr>
                  <w:tcW w:w="2301" w:type="dxa"/>
                  <w:gridSpan w:val="2"/>
                  <w:noWrap/>
                  <w:vAlign w:val="center"/>
                </w:tcPr>
                <w:p>
                  <w:pPr>
                    <w:widowControl/>
                    <w:jc w:val="center"/>
                    <w:rPr>
                      <w:rFonts w:cs="宋体"/>
                      <w:kern w:val="0"/>
                      <w:szCs w:val="22"/>
                    </w:rPr>
                  </w:pPr>
                  <w:r>
                    <w:rPr>
                      <w:rFonts w:hint="eastAsia" w:cs="宋体"/>
                      <w:kern w:val="0"/>
                      <w:szCs w:val="22"/>
                    </w:rPr>
                    <w:t>NO</w:t>
                  </w:r>
                  <w:r>
                    <w:rPr>
                      <w:rFonts w:hint="eastAsia" w:cs="宋体"/>
                      <w:kern w:val="0"/>
                      <w:szCs w:val="22"/>
                      <w:vertAlign w:val="subscript"/>
                    </w:rPr>
                    <w:t>X</w:t>
                  </w:r>
                </w:p>
              </w:tc>
              <w:tc>
                <w:tcPr>
                  <w:tcW w:w="2409" w:type="dxa"/>
                  <w:gridSpan w:val="2"/>
                  <w:noWrap/>
                  <w:vAlign w:val="center"/>
                </w:tcPr>
                <w:p>
                  <w:pPr>
                    <w:widowControl/>
                    <w:jc w:val="center"/>
                    <w:rPr>
                      <w:rFonts w:cs="宋体"/>
                      <w:kern w:val="0"/>
                      <w:szCs w:val="22"/>
                    </w:rPr>
                  </w:pPr>
                  <w:r>
                    <w:rPr>
                      <w:rFonts w:hint="eastAsia" w:cs="宋体"/>
                      <w:kern w:val="0"/>
                      <w:szCs w:val="22"/>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vMerge w:val="continue"/>
                  <w:noWrap/>
                  <w:vAlign w:val="center"/>
                </w:tcPr>
                <w:p>
                  <w:pPr>
                    <w:widowControl/>
                    <w:jc w:val="center"/>
                    <w:rPr>
                      <w:rFonts w:cs="宋体"/>
                      <w:kern w:val="0"/>
                      <w:szCs w:val="22"/>
                    </w:rPr>
                  </w:pPr>
                </w:p>
              </w:tc>
              <w:tc>
                <w:tcPr>
                  <w:tcW w:w="1275" w:type="dxa"/>
                  <w:noWrap/>
                  <w:vAlign w:val="center"/>
                </w:tcPr>
                <w:p>
                  <w:pPr>
                    <w:widowControl/>
                    <w:jc w:val="center"/>
                    <w:rPr>
                      <w:rFonts w:cs="宋体"/>
                      <w:kern w:val="0"/>
                      <w:szCs w:val="22"/>
                    </w:rPr>
                  </w:pPr>
                  <w:r>
                    <w:rPr>
                      <w:rFonts w:hint="eastAsia" w:cs="宋体"/>
                      <w:kern w:val="0"/>
                      <w:szCs w:val="22"/>
                    </w:rPr>
                    <w:t>预测浓度</w:t>
                  </w:r>
                </w:p>
                <w:p>
                  <w:pPr>
                    <w:widowControl/>
                    <w:jc w:val="center"/>
                    <w:rPr>
                      <w:rFonts w:cs="宋体"/>
                      <w:kern w:val="0"/>
                      <w:szCs w:val="22"/>
                    </w:rPr>
                  </w:pPr>
                  <w:r>
                    <w:rPr>
                      <w:rFonts w:hint="eastAsia" w:cs="宋体"/>
                      <w:kern w:val="0"/>
                      <w:szCs w:val="22"/>
                    </w:rPr>
                    <w:t>（mg/m</w:t>
                  </w:r>
                  <w:r>
                    <w:rPr>
                      <w:rFonts w:hint="eastAsia" w:cs="宋体"/>
                      <w:kern w:val="0"/>
                      <w:szCs w:val="22"/>
                      <w:vertAlign w:val="superscript"/>
                    </w:rPr>
                    <w:t>3</w:t>
                  </w:r>
                  <w:r>
                    <w:rPr>
                      <w:rFonts w:hint="eastAsia" w:cs="宋体"/>
                      <w:kern w:val="0"/>
                      <w:szCs w:val="22"/>
                    </w:rPr>
                    <w:t>）</w:t>
                  </w:r>
                </w:p>
              </w:tc>
              <w:tc>
                <w:tcPr>
                  <w:tcW w:w="1276" w:type="dxa"/>
                  <w:noWrap/>
                  <w:vAlign w:val="center"/>
                </w:tcPr>
                <w:p>
                  <w:pPr>
                    <w:widowControl/>
                    <w:jc w:val="center"/>
                    <w:rPr>
                      <w:rFonts w:cs="宋体"/>
                      <w:kern w:val="0"/>
                      <w:szCs w:val="22"/>
                    </w:rPr>
                  </w:pPr>
                  <w:r>
                    <w:rPr>
                      <w:rFonts w:hint="eastAsia" w:cs="宋体"/>
                      <w:kern w:val="0"/>
                      <w:szCs w:val="22"/>
                    </w:rPr>
                    <w:t>占标率(</w:t>
                  </w:r>
                  <w:r>
                    <w:rPr>
                      <w:rFonts w:cs="宋体"/>
                      <w:kern w:val="0"/>
                      <w:szCs w:val="22"/>
                    </w:rPr>
                    <w:t>%)</w:t>
                  </w:r>
                </w:p>
              </w:tc>
              <w:tc>
                <w:tcPr>
                  <w:tcW w:w="1308" w:type="dxa"/>
                  <w:noWrap/>
                  <w:vAlign w:val="center"/>
                </w:tcPr>
                <w:p>
                  <w:pPr>
                    <w:widowControl/>
                    <w:jc w:val="center"/>
                    <w:rPr>
                      <w:rFonts w:cs="宋体"/>
                      <w:kern w:val="0"/>
                      <w:szCs w:val="22"/>
                    </w:rPr>
                  </w:pPr>
                  <w:r>
                    <w:rPr>
                      <w:rFonts w:hint="eastAsia" w:cs="宋体"/>
                      <w:kern w:val="0"/>
                      <w:szCs w:val="22"/>
                    </w:rPr>
                    <w:t>预测浓度</w:t>
                  </w:r>
                </w:p>
                <w:p>
                  <w:pPr>
                    <w:widowControl/>
                    <w:jc w:val="center"/>
                    <w:rPr>
                      <w:rFonts w:cs="宋体"/>
                      <w:kern w:val="0"/>
                      <w:szCs w:val="22"/>
                    </w:rPr>
                  </w:pPr>
                  <w:r>
                    <w:rPr>
                      <w:rFonts w:hint="eastAsia" w:cs="宋体"/>
                      <w:kern w:val="0"/>
                      <w:szCs w:val="22"/>
                    </w:rPr>
                    <w:t>（mg/m</w:t>
                  </w:r>
                  <w:r>
                    <w:rPr>
                      <w:rFonts w:hint="eastAsia" w:cs="宋体"/>
                      <w:kern w:val="0"/>
                      <w:szCs w:val="22"/>
                      <w:vertAlign w:val="superscript"/>
                    </w:rPr>
                    <w:t>3</w:t>
                  </w:r>
                  <w:r>
                    <w:rPr>
                      <w:rFonts w:hint="eastAsia" w:cs="宋体"/>
                      <w:kern w:val="0"/>
                      <w:szCs w:val="22"/>
                    </w:rPr>
                    <w:t>）</w:t>
                  </w:r>
                </w:p>
              </w:tc>
              <w:tc>
                <w:tcPr>
                  <w:tcW w:w="993" w:type="dxa"/>
                  <w:noWrap/>
                  <w:vAlign w:val="center"/>
                </w:tcPr>
                <w:p>
                  <w:pPr>
                    <w:widowControl/>
                    <w:jc w:val="center"/>
                    <w:rPr>
                      <w:rFonts w:cs="宋体"/>
                      <w:kern w:val="0"/>
                      <w:szCs w:val="22"/>
                    </w:rPr>
                  </w:pPr>
                  <w:r>
                    <w:rPr>
                      <w:rFonts w:hint="eastAsia" w:cs="宋体"/>
                      <w:kern w:val="0"/>
                      <w:szCs w:val="22"/>
                    </w:rPr>
                    <w:t>占标率(</w:t>
                  </w:r>
                  <w:r>
                    <w:rPr>
                      <w:rFonts w:cs="宋体"/>
                      <w:kern w:val="0"/>
                      <w:szCs w:val="22"/>
                    </w:rPr>
                    <w:t>%)</w:t>
                  </w:r>
                </w:p>
              </w:tc>
              <w:tc>
                <w:tcPr>
                  <w:tcW w:w="1275" w:type="dxa"/>
                  <w:noWrap/>
                  <w:vAlign w:val="center"/>
                </w:tcPr>
                <w:p>
                  <w:pPr>
                    <w:widowControl/>
                    <w:jc w:val="center"/>
                    <w:rPr>
                      <w:rFonts w:cs="宋体"/>
                      <w:kern w:val="0"/>
                      <w:szCs w:val="22"/>
                    </w:rPr>
                  </w:pPr>
                  <w:r>
                    <w:rPr>
                      <w:rFonts w:hint="eastAsia" w:cs="宋体"/>
                      <w:kern w:val="0"/>
                      <w:szCs w:val="22"/>
                    </w:rPr>
                    <w:t>预测浓度</w:t>
                  </w:r>
                </w:p>
                <w:p>
                  <w:pPr>
                    <w:widowControl/>
                    <w:jc w:val="center"/>
                    <w:rPr>
                      <w:rFonts w:cs="宋体"/>
                      <w:kern w:val="0"/>
                      <w:szCs w:val="22"/>
                    </w:rPr>
                  </w:pPr>
                  <w:r>
                    <w:rPr>
                      <w:rFonts w:hint="eastAsia" w:cs="宋体"/>
                      <w:kern w:val="0"/>
                      <w:szCs w:val="22"/>
                    </w:rPr>
                    <w:t>（mg/m</w:t>
                  </w:r>
                  <w:r>
                    <w:rPr>
                      <w:rFonts w:hint="eastAsia" w:cs="宋体"/>
                      <w:kern w:val="0"/>
                      <w:szCs w:val="22"/>
                      <w:vertAlign w:val="superscript"/>
                    </w:rPr>
                    <w:t>3</w:t>
                  </w:r>
                  <w:r>
                    <w:rPr>
                      <w:rFonts w:hint="eastAsia" w:cs="宋体"/>
                      <w:kern w:val="0"/>
                      <w:szCs w:val="22"/>
                    </w:rPr>
                    <w:t>）</w:t>
                  </w:r>
                </w:p>
              </w:tc>
              <w:tc>
                <w:tcPr>
                  <w:tcW w:w="1134" w:type="dxa"/>
                  <w:noWrap/>
                  <w:vAlign w:val="center"/>
                </w:tcPr>
                <w:p>
                  <w:pPr>
                    <w:widowControl/>
                    <w:jc w:val="center"/>
                    <w:rPr>
                      <w:rFonts w:cs="宋体"/>
                      <w:kern w:val="0"/>
                      <w:szCs w:val="22"/>
                    </w:rPr>
                  </w:pPr>
                  <w:r>
                    <w:rPr>
                      <w:rFonts w:hint="eastAsia" w:cs="宋体"/>
                      <w:kern w:val="0"/>
                      <w:szCs w:val="22"/>
                    </w:rPr>
                    <w:t>占标率(</w:t>
                  </w:r>
                  <w:r>
                    <w:rPr>
                      <w:rFonts w:cs="宋体"/>
                      <w:kern w:val="0"/>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10</w:t>
                  </w:r>
                </w:p>
              </w:tc>
              <w:tc>
                <w:tcPr>
                  <w:tcW w:w="1275" w:type="dxa"/>
                  <w:noWrap/>
                </w:tcPr>
                <w:p>
                  <w:pPr>
                    <w:widowControl/>
                    <w:jc w:val="center"/>
                    <w:rPr>
                      <w:rFonts w:cs="宋体"/>
                      <w:kern w:val="0"/>
                      <w:szCs w:val="22"/>
                    </w:rPr>
                  </w:pPr>
                  <w:r>
                    <w:t xml:space="preserve">0.00016 </w:t>
                  </w:r>
                </w:p>
              </w:tc>
              <w:tc>
                <w:tcPr>
                  <w:tcW w:w="1276" w:type="dxa"/>
                  <w:noWrap/>
                </w:tcPr>
                <w:p>
                  <w:pPr>
                    <w:widowControl/>
                    <w:jc w:val="center"/>
                    <w:rPr>
                      <w:rFonts w:cs="宋体"/>
                      <w:kern w:val="0"/>
                      <w:szCs w:val="22"/>
                    </w:rPr>
                  </w:pPr>
                  <w:r>
                    <w:t>0.03</w:t>
                  </w:r>
                </w:p>
              </w:tc>
              <w:tc>
                <w:tcPr>
                  <w:tcW w:w="1308" w:type="dxa"/>
                  <w:noWrap/>
                </w:tcPr>
                <w:p>
                  <w:pPr>
                    <w:widowControl/>
                    <w:jc w:val="center"/>
                    <w:rPr>
                      <w:rFonts w:cs="宋体"/>
                      <w:kern w:val="0"/>
                      <w:szCs w:val="22"/>
                    </w:rPr>
                  </w:pPr>
                  <w:r>
                    <w:t xml:space="preserve">0.00164 </w:t>
                  </w:r>
                </w:p>
              </w:tc>
              <w:tc>
                <w:tcPr>
                  <w:tcW w:w="993" w:type="dxa"/>
                  <w:noWrap/>
                </w:tcPr>
                <w:p>
                  <w:pPr>
                    <w:widowControl/>
                    <w:jc w:val="center"/>
                    <w:rPr>
                      <w:rFonts w:cs="宋体"/>
                      <w:kern w:val="0"/>
                      <w:szCs w:val="22"/>
                    </w:rPr>
                  </w:pPr>
                  <w:r>
                    <w:t>0.65</w:t>
                  </w:r>
                </w:p>
              </w:tc>
              <w:tc>
                <w:tcPr>
                  <w:tcW w:w="1275" w:type="dxa"/>
                  <w:noWrap/>
                </w:tcPr>
                <w:p>
                  <w:pPr>
                    <w:widowControl/>
                    <w:jc w:val="center"/>
                    <w:rPr>
                      <w:rFonts w:cs="宋体"/>
                      <w:kern w:val="0"/>
                      <w:szCs w:val="22"/>
                    </w:rPr>
                  </w:pPr>
                  <w:r>
                    <w:t xml:space="preserve">0.00017 </w:t>
                  </w:r>
                </w:p>
              </w:tc>
              <w:tc>
                <w:tcPr>
                  <w:tcW w:w="1134" w:type="dxa"/>
                  <w:noWrap/>
                </w:tcPr>
                <w:p>
                  <w:pPr>
                    <w:widowControl/>
                    <w:jc w:val="center"/>
                    <w:rPr>
                      <w:rFonts w:cs="宋体"/>
                      <w:kern w:val="0"/>
                      <w:szCs w:val="22"/>
                    </w:rPr>
                  </w:pP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50</w:t>
                  </w:r>
                </w:p>
              </w:tc>
              <w:tc>
                <w:tcPr>
                  <w:tcW w:w="1275" w:type="dxa"/>
                  <w:noWrap/>
                </w:tcPr>
                <w:p>
                  <w:pPr>
                    <w:widowControl/>
                    <w:jc w:val="center"/>
                    <w:rPr>
                      <w:rFonts w:cs="宋体"/>
                      <w:kern w:val="0"/>
                      <w:szCs w:val="22"/>
                    </w:rPr>
                  </w:pPr>
                  <w:r>
                    <w:t xml:space="preserve">0.00094 </w:t>
                  </w:r>
                </w:p>
              </w:tc>
              <w:tc>
                <w:tcPr>
                  <w:tcW w:w="1276" w:type="dxa"/>
                  <w:noWrap/>
                </w:tcPr>
                <w:p>
                  <w:pPr>
                    <w:widowControl/>
                    <w:jc w:val="center"/>
                    <w:rPr>
                      <w:rFonts w:cs="宋体"/>
                      <w:kern w:val="0"/>
                      <w:szCs w:val="22"/>
                    </w:rPr>
                  </w:pPr>
                  <w:r>
                    <w:t>0.19</w:t>
                  </w:r>
                </w:p>
              </w:tc>
              <w:tc>
                <w:tcPr>
                  <w:tcW w:w="1308" w:type="dxa"/>
                  <w:noWrap/>
                </w:tcPr>
                <w:p>
                  <w:pPr>
                    <w:widowControl/>
                    <w:jc w:val="center"/>
                    <w:rPr>
                      <w:rFonts w:cs="宋体"/>
                      <w:kern w:val="0"/>
                      <w:szCs w:val="22"/>
                    </w:rPr>
                  </w:pPr>
                  <w:r>
                    <w:t xml:space="preserve">0.00977 </w:t>
                  </w:r>
                </w:p>
              </w:tc>
              <w:tc>
                <w:tcPr>
                  <w:tcW w:w="993" w:type="dxa"/>
                  <w:noWrap/>
                </w:tcPr>
                <w:p>
                  <w:pPr>
                    <w:widowControl/>
                    <w:jc w:val="center"/>
                    <w:rPr>
                      <w:rFonts w:cs="宋体"/>
                      <w:kern w:val="0"/>
                      <w:szCs w:val="22"/>
                    </w:rPr>
                  </w:pPr>
                  <w:r>
                    <w:t>3.91</w:t>
                  </w:r>
                </w:p>
              </w:tc>
              <w:tc>
                <w:tcPr>
                  <w:tcW w:w="1275" w:type="dxa"/>
                  <w:noWrap/>
                </w:tcPr>
                <w:p>
                  <w:pPr>
                    <w:widowControl/>
                    <w:jc w:val="center"/>
                    <w:rPr>
                      <w:rFonts w:cs="宋体"/>
                      <w:kern w:val="0"/>
                      <w:szCs w:val="22"/>
                    </w:rPr>
                  </w:pPr>
                  <w:r>
                    <w:t xml:space="preserve">0.00103 </w:t>
                  </w:r>
                </w:p>
              </w:tc>
              <w:tc>
                <w:tcPr>
                  <w:tcW w:w="1134" w:type="dxa"/>
                  <w:noWrap/>
                </w:tcPr>
                <w:p>
                  <w:pPr>
                    <w:widowControl/>
                    <w:jc w:val="center"/>
                    <w:rPr>
                      <w:rFonts w:cs="宋体"/>
                      <w:kern w:val="0"/>
                      <w:szCs w:val="22"/>
                    </w:rPr>
                  </w:pPr>
                  <w: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b/>
                      <w:kern w:val="0"/>
                      <w:szCs w:val="22"/>
                    </w:rPr>
                  </w:pPr>
                  <w:r>
                    <w:rPr>
                      <w:b/>
                    </w:rPr>
                    <w:t>81</w:t>
                  </w:r>
                </w:p>
              </w:tc>
              <w:tc>
                <w:tcPr>
                  <w:tcW w:w="1275" w:type="dxa"/>
                  <w:noWrap/>
                </w:tcPr>
                <w:p>
                  <w:pPr>
                    <w:widowControl/>
                    <w:jc w:val="center"/>
                    <w:rPr>
                      <w:rFonts w:cs="宋体"/>
                      <w:b/>
                      <w:kern w:val="0"/>
                      <w:szCs w:val="22"/>
                    </w:rPr>
                  </w:pPr>
                  <w:r>
                    <w:rPr>
                      <w:b/>
                    </w:rPr>
                    <w:t xml:space="preserve">0.00119 </w:t>
                  </w:r>
                </w:p>
              </w:tc>
              <w:tc>
                <w:tcPr>
                  <w:tcW w:w="1276" w:type="dxa"/>
                  <w:noWrap/>
                </w:tcPr>
                <w:p>
                  <w:pPr>
                    <w:widowControl/>
                    <w:jc w:val="center"/>
                    <w:rPr>
                      <w:rFonts w:cs="宋体"/>
                      <w:b/>
                      <w:kern w:val="0"/>
                      <w:szCs w:val="22"/>
                    </w:rPr>
                  </w:pPr>
                  <w:r>
                    <w:rPr>
                      <w:b/>
                    </w:rPr>
                    <w:t>0.24</w:t>
                  </w:r>
                </w:p>
              </w:tc>
              <w:tc>
                <w:tcPr>
                  <w:tcW w:w="1308" w:type="dxa"/>
                  <w:noWrap/>
                </w:tcPr>
                <w:p>
                  <w:pPr>
                    <w:widowControl/>
                    <w:jc w:val="center"/>
                    <w:rPr>
                      <w:rFonts w:cs="宋体"/>
                      <w:b/>
                      <w:kern w:val="0"/>
                      <w:szCs w:val="22"/>
                    </w:rPr>
                  </w:pPr>
                  <w:r>
                    <w:rPr>
                      <w:b/>
                    </w:rPr>
                    <w:t xml:space="preserve">0.01237 </w:t>
                  </w:r>
                </w:p>
              </w:tc>
              <w:tc>
                <w:tcPr>
                  <w:tcW w:w="993" w:type="dxa"/>
                  <w:noWrap/>
                </w:tcPr>
                <w:p>
                  <w:pPr>
                    <w:widowControl/>
                    <w:jc w:val="center"/>
                    <w:rPr>
                      <w:rFonts w:cs="宋体"/>
                      <w:b/>
                      <w:kern w:val="0"/>
                      <w:szCs w:val="22"/>
                    </w:rPr>
                  </w:pPr>
                  <w:r>
                    <w:rPr>
                      <w:b/>
                    </w:rPr>
                    <w:t>4.95</w:t>
                  </w:r>
                </w:p>
              </w:tc>
              <w:tc>
                <w:tcPr>
                  <w:tcW w:w="1275" w:type="dxa"/>
                  <w:noWrap/>
                </w:tcPr>
                <w:p>
                  <w:pPr>
                    <w:widowControl/>
                    <w:jc w:val="center"/>
                    <w:rPr>
                      <w:rFonts w:cs="宋体"/>
                      <w:b/>
                      <w:kern w:val="0"/>
                      <w:szCs w:val="22"/>
                    </w:rPr>
                  </w:pPr>
                  <w:r>
                    <w:rPr>
                      <w:b/>
                    </w:rPr>
                    <w:t xml:space="preserve">0.00130 </w:t>
                  </w:r>
                </w:p>
              </w:tc>
              <w:tc>
                <w:tcPr>
                  <w:tcW w:w="1134" w:type="dxa"/>
                  <w:noWrap/>
                </w:tcPr>
                <w:p>
                  <w:pPr>
                    <w:widowControl/>
                    <w:jc w:val="center"/>
                    <w:rPr>
                      <w:rFonts w:cs="宋体"/>
                      <w:b/>
                      <w:kern w:val="0"/>
                      <w:szCs w:val="22"/>
                    </w:rPr>
                  </w:pPr>
                  <w:r>
                    <w:rPr>
                      <w:b/>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100</w:t>
                  </w:r>
                </w:p>
              </w:tc>
              <w:tc>
                <w:tcPr>
                  <w:tcW w:w="1275" w:type="dxa"/>
                  <w:noWrap/>
                </w:tcPr>
                <w:p>
                  <w:pPr>
                    <w:widowControl/>
                    <w:jc w:val="center"/>
                    <w:rPr>
                      <w:rFonts w:cs="宋体"/>
                      <w:kern w:val="0"/>
                      <w:szCs w:val="22"/>
                    </w:rPr>
                  </w:pPr>
                  <w:r>
                    <w:t xml:space="preserve">0.00112 </w:t>
                  </w:r>
                </w:p>
              </w:tc>
              <w:tc>
                <w:tcPr>
                  <w:tcW w:w="1276" w:type="dxa"/>
                  <w:noWrap/>
                </w:tcPr>
                <w:p>
                  <w:pPr>
                    <w:widowControl/>
                    <w:jc w:val="center"/>
                    <w:rPr>
                      <w:rFonts w:cs="宋体"/>
                      <w:kern w:val="0"/>
                      <w:szCs w:val="22"/>
                    </w:rPr>
                  </w:pPr>
                  <w:r>
                    <w:t>0.22</w:t>
                  </w:r>
                </w:p>
              </w:tc>
              <w:tc>
                <w:tcPr>
                  <w:tcW w:w="1308" w:type="dxa"/>
                  <w:noWrap/>
                </w:tcPr>
                <w:p>
                  <w:pPr>
                    <w:widowControl/>
                    <w:jc w:val="center"/>
                    <w:rPr>
                      <w:rFonts w:cs="宋体"/>
                      <w:kern w:val="0"/>
                      <w:szCs w:val="22"/>
                    </w:rPr>
                  </w:pPr>
                  <w:r>
                    <w:t xml:space="preserve">0.01164 </w:t>
                  </w:r>
                </w:p>
              </w:tc>
              <w:tc>
                <w:tcPr>
                  <w:tcW w:w="993" w:type="dxa"/>
                  <w:noWrap/>
                </w:tcPr>
                <w:p>
                  <w:pPr>
                    <w:widowControl/>
                    <w:jc w:val="center"/>
                    <w:rPr>
                      <w:rFonts w:cs="宋体"/>
                      <w:kern w:val="0"/>
                      <w:szCs w:val="22"/>
                    </w:rPr>
                  </w:pPr>
                  <w:r>
                    <w:t>4.65</w:t>
                  </w:r>
                </w:p>
              </w:tc>
              <w:tc>
                <w:tcPr>
                  <w:tcW w:w="1275" w:type="dxa"/>
                  <w:noWrap/>
                </w:tcPr>
                <w:p>
                  <w:pPr>
                    <w:widowControl/>
                    <w:jc w:val="center"/>
                    <w:rPr>
                      <w:rFonts w:cs="宋体"/>
                      <w:kern w:val="0"/>
                      <w:szCs w:val="22"/>
                    </w:rPr>
                  </w:pPr>
                  <w:r>
                    <w:t xml:space="preserve">0.00123 </w:t>
                  </w:r>
                </w:p>
              </w:tc>
              <w:tc>
                <w:tcPr>
                  <w:tcW w:w="1134" w:type="dxa"/>
                  <w:noWrap/>
                </w:tcPr>
                <w:p>
                  <w:pPr>
                    <w:widowControl/>
                    <w:jc w:val="center"/>
                    <w:rPr>
                      <w:rFonts w:cs="宋体"/>
                      <w:kern w:val="0"/>
                      <w:szCs w:val="22"/>
                    </w:rPr>
                  </w:pPr>
                  <w: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200</w:t>
                  </w:r>
                </w:p>
              </w:tc>
              <w:tc>
                <w:tcPr>
                  <w:tcW w:w="1275" w:type="dxa"/>
                  <w:noWrap/>
                </w:tcPr>
                <w:p>
                  <w:pPr>
                    <w:widowControl/>
                    <w:jc w:val="center"/>
                    <w:rPr>
                      <w:rFonts w:cs="宋体"/>
                      <w:kern w:val="0"/>
                      <w:szCs w:val="22"/>
                    </w:rPr>
                  </w:pPr>
                  <w:r>
                    <w:t xml:space="preserve">0.00057 </w:t>
                  </w:r>
                </w:p>
              </w:tc>
              <w:tc>
                <w:tcPr>
                  <w:tcW w:w="1276" w:type="dxa"/>
                  <w:noWrap/>
                </w:tcPr>
                <w:p>
                  <w:pPr>
                    <w:widowControl/>
                    <w:jc w:val="center"/>
                    <w:rPr>
                      <w:rFonts w:cs="宋体"/>
                      <w:kern w:val="0"/>
                      <w:szCs w:val="22"/>
                    </w:rPr>
                  </w:pPr>
                  <w:r>
                    <w:t>0.11</w:t>
                  </w:r>
                </w:p>
              </w:tc>
              <w:tc>
                <w:tcPr>
                  <w:tcW w:w="1308" w:type="dxa"/>
                  <w:noWrap/>
                </w:tcPr>
                <w:p>
                  <w:pPr>
                    <w:widowControl/>
                    <w:jc w:val="center"/>
                    <w:rPr>
                      <w:rFonts w:cs="宋体"/>
                      <w:kern w:val="0"/>
                      <w:szCs w:val="22"/>
                    </w:rPr>
                  </w:pPr>
                  <w:r>
                    <w:t xml:space="preserve">0.00588 </w:t>
                  </w:r>
                </w:p>
              </w:tc>
              <w:tc>
                <w:tcPr>
                  <w:tcW w:w="993" w:type="dxa"/>
                  <w:noWrap/>
                </w:tcPr>
                <w:p>
                  <w:pPr>
                    <w:widowControl/>
                    <w:jc w:val="center"/>
                    <w:rPr>
                      <w:rFonts w:cs="宋体"/>
                      <w:kern w:val="0"/>
                      <w:szCs w:val="22"/>
                    </w:rPr>
                  </w:pPr>
                  <w:r>
                    <w:t>2.35</w:t>
                  </w:r>
                </w:p>
              </w:tc>
              <w:tc>
                <w:tcPr>
                  <w:tcW w:w="1275" w:type="dxa"/>
                  <w:noWrap/>
                </w:tcPr>
                <w:p>
                  <w:pPr>
                    <w:widowControl/>
                    <w:jc w:val="center"/>
                    <w:rPr>
                      <w:rFonts w:cs="宋体"/>
                      <w:kern w:val="0"/>
                      <w:szCs w:val="22"/>
                    </w:rPr>
                  </w:pPr>
                  <w:r>
                    <w:t xml:space="preserve">0.00062 </w:t>
                  </w:r>
                </w:p>
              </w:tc>
              <w:tc>
                <w:tcPr>
                  <w:tcW w:w="1134" w:type="dxa"/>
                  <w:noWrap/>
                </w:tcPr>
                <w:p>
                  <w:pPr>
                    <w:widowControl/>
                    <w:jc w:val="center"/>
                    <w:rPr>
                      <w:rFonts w:cs="宋体"/>
                      <w:kern w:val="0"/>
                      <w:szCs w:val="22"/>
                    </w:rPr>
                  </w:pPr>
                  <w: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b/>
                      <w:kern w:val="0"/>
                      <w:sz w:val="24"/>
                    </w:rPr>
                  </w:pPr>
                  <w:r>
                    <w:t>300</w:t>
                  </w:r>
                </w:p>
              </w:tc>
              <w:tc>
                <w:tcPr>
                  <w:tcW w:w="1275" w:type="dxa"/>
                  <w:noWrap/>
                </w:tcPr>
                <w:p>
                  <w:pPr>
                    <w:widowControl/>
                    <w:jc w:val="center"/>
                    <w:rPr>
                      <w:rFonts w:cs="宋体"/>
                      <w:b/>
                      <w:kern w:val="0"/>
                      <w:sz w:val="24"/>
                    </w:rPr>
                  </w:pPr>
                  <w:r>
                    <w:t xml:space="preserve">0.00056 </w:t>
                  </w:r>
                </w:p>
              </w:tc>
              <w:tc>
                <w:tcPr>
                  <w:tcW w:w="1276" w:type="dxa"/>
                  <w:noWrap/>
                </w:tcPr>
                <w:p>
                  <w:pPr>
                    <w:widowControl/>
                    <w:jc w:val="center"/>
                    <w:rPr>
                      <w:rFonts w:cs="宋体"/>
                      <w:b/>
                      <w:kern w:val="0"/>
                      <w:sz w:val="24"/>
                    </w:rPr>
                  </w:pPr>
                  <w:r>
                    <w:t>0.11</w:t>
                  </w:r>
                </w:p>
              </w:tc>
              <w:tc>
                <w:tcPr>
                  <w:tcW w:w="1308" w:type="dxa"/>
                  <w:noWrap/>
                </w:tcPr>
                <w:p>
                  <w:pPr>
                    <w:widowControl/>
                    <w:jc w:val="center"/>
                    <w:rPr>
                      <w:rFonts w:cs="宋体"/>
                      <w:b/>
                      <w:kern w:val="0"/>
                      <w:sz w:val="24"/>
                    </w:rPr>
                  </w:pPr>
                  <w:r>
                    <w:t xml:space="preserve">0.00578 </w:t>
                  </w:r>
                </w:p>
              </w:tc>
              <w:tc>
                <w:tcPr>
                  <w:tcW w:w="993" w:type="dxa"/>
                  <w:noWrap/>
                </w:tcPr>
                <w:p>
                  <w:pPr>
                    <w:widowControl/>
                    <w:jc w:val="center"/>
                    <w:rPr>
                      <w:rFonts w:cs="宋体"/>
                      <w:b/>
                      <w:kern w:val="0"/>
                      <w:sz w:val="24"/>
                    </w:rPr>
                  </w:pPr>
                  <w:r>
                    <w:t>2.31</w:t>
                  </w:r>
                </w:p>
              </w:tc>
              <w:tc>
                <w:tcPr>
                  <w:tcW w:w="1275" w:type="dxa"/>
                  <w:noWrap/>
                </w:tcPr>
                <w:p>
                  <w:pPr>
                    <w:widowControl/>
                    <w:jc w:val="center"/>
                    <w:rPr>
                      <w:rFonts w:cs="宋体"/>
                      <w:b/>
                      <w:kern w:val="0"/>
                      <w:sz w:val="24"/>
                    </w:rPr>
                  </w:pPr>
                  <w:r>
                    <w:t xml:space="preserve">0.00061 </w:t>
                  </w:r>
                </w:p>
              </w:tc>
              <w:tc>
                <w:tcPr>
                  <w:tcW w:w="1134" w:type="dxa"/>
                  <w:noWrap/>
                </w:tcPr>
                <w:p>
                  <w:pPr>
                    <w:widowControl/>
                    <w:jc w:val="center"/>
                    <w:rPr>
                      <w:rFonts w:cs="宋体"/>
                      <w:b/>
                      <w:kern w:val="0"/>
                      <w:sz w:val="24"/>
                    </w:rPr>
                  </w:pPr>
                  <w: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400</w:t>
                  </w:r>
                </w:p>
              </w:tc>
              <w:tc>
                <w:tcPr>
                  <w:tcW w:w="1275" w:type="dxa"/>
                  <w:noWrap/>
                </w:tcPr>
                <w:p>
                  <w:pPr>
                    <w:widowControl/>
                    <w:jc w:val="center"/>
                    <w:rPr>
                      <w:rFonts w:cs="宋体"/>
                      <w:kern w:val="0"/>
                      <w:szCs w:val="22"/>
                    </w:rPr>
                  </w:pPr>
                  <w:r>
                    <w:t xml:space="preserve">0.00052 </w:t>
                  </w:r>
                </w:p>
              </w:tc>
              <w:tc>
                <w:tcPr>
                  <w:tcW w:w="1276" w:type="dxa"/>
                  <w:noWrap/>
                </w:tcPr>
                <w:p>
                  <w:pPr>
                    <w:widowControl/>
                    <w:jc w:val="center"/>
                    <w:rPr>
                      <w:rFonts w:cs="宋体"/>
                      <w:kern w:val="0"/>
                      <w:szCs w:val="22"/>
                    </w:rPr>
                  </w:pPr>
                  <w:r>
                    <w:t>0.1</w:t>
                  </w:r>
                </w:p>
              </w:tc>
              <w:tc>
                <w:tcPr>
                  <w:tcW w:w="1308" w:type="dxa"/>
                  <w:noWrap/>
                </w:tcPr>
                <w:p>
                  <w:pPr>
                    <w:widowControl/>
                    <w:jc w:val="center"/>
                    <w:rPr>
                      <w:rFonts w:cs="宋体"/>
                      <w:kern w:val="0"/>
                      <w:szCs w:val="22"/>
                    </w:rPr>
                  </w:pPr>
                  <w:r>
                    <w:t xml:space="preserve">0.00534 </w:t>
                  </w:r>
                </w:p>
              </w:tc>
              <w:tc>
                <w:tcPr>
                  <w:tcW w:w="993" w:type="dxa"/>
                  <w:noWrap/>
                </w:tcPr>
                <w:p>
                  <w:pPr>
                    <w:widowControl/>
                    <w:jc w:val="center"/>
                    <w:rPr>
                      <w:rFonts w:cs="宋体"/>
                      <w:kern w:val="0"/>
                      <w:szCs w:val="22"/>
                    </w:rPr>
                  </w:pPr>
                  <w:r>
                    <w:t>2.14</w:t>
                  </w:r>
                </w:p>
              </w:tc>
              <w:tc>
                <w:tcPr>
                  <w:tcW w:w="1275" w:type="dxa"/>
                  <w:noWrap/>
                </w:tcPr>
                <w:p>
                  <w:pPr>
                    <w:widowControl/>
                    <w:jc w:val="center"/>
                    <w:rPr>
                      <w:rFonts w:cs="宋体"/>
                      <w:kern w:val="0"/>
                      <w:szCs w:val="22"/>
                    </w:rPr>
                  </w:pPr>
                  <w:r>
                    <w:t xml:space="preserve">0.00056 </w:t>
                  </w:r>
                </w:p>
              </w:tc>
              <w:tc>
                <w:tcPr>
                  <w:tcW w:w="1134" w:type="dxa"/>
                  <w:noWrap/>
                </w:tcPr>
                <w:p>
                  <w:pPr>
                    <w:widowControl/>
                    <w:jc w:val="center"/>
                    <w:rPr>
                      <w:rFonts w:cs="宋体"/>
                      <w:kern w:val="0"/>
                      <w:szCs w:val="22"/>
                    </w:rPr>
                  </w:pPr>
                  <w: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500</w:t>
                  </w:r>
                </w:p>
              </w:tc>
              <w:tc>
                <w:tcPr>
                  <w:tcW w:w="1275" w:type="dxa"/>
                  <w:noWrap/>
                </w:tcPr>
                <w:p>
                  <w:pPr>
                    <w:widowControl/>
                    <w:jc w:val="center"/>
                    <w:rPr>
                      <w:rFonts w:cs="宋体"/>
                      <w:kern w:val="0"/>
                      <w:szCs w:val="22"/>
                    </w:rPr>
                  </w:pPr>
                  <w:r>
                    <w:t xml:space="preserve">0.00049 </w:t>
                  </w:r>
                </w:p>
              </w:tc>
              <w:tc>
                <w:tcPr>
                  <w:tcW w:w="1276" w:type="dxa"/>
                  <w:noWrap/>
                </w:tcPr>
                <w:p>
                  <w:pPr>
                    <w:widowControl/>
                    <w:jc w:val="center"/>
                    <w:rPr>
                      <w:rFonts w:cs="宋体"/>
                      <w:kern w:val="0"/>
                      <w:szCs w:val="22"/>
                    </w:rPr>
                  </w:pPr>
                  <w:r>
                    <w:t>0.1</w:t>
                  </w:r>
                </w:p>
              </w:tc>
              <w:tc>
                <w:tcPr>
                  <w:tcW w:w="1308" w:type="dxa"/>
                  <w:noWrap/>
                </w:tcPr>
                <w:p>
                  <w:pPr>
                    <w:widowControl/>
                    <w:jc w:val="center"/>
                    <w:rPr>
                      <w:rFonts w:cs="宋体"/>
                      <w:kern w:val="0"/>
                      <w:szCs w:val="22"/>
                    </w:rPr>
                  </w:pPr>
                  <w:r>
                    <w:t xml:space="preserve">0.00507 </w:t>
                  </w:r>
                </w:p>
              </w:tc>
              <w:tc>
                <w:tcPr>
                  <w:tcW w:w="993" w:type="dxa"/>
                  <w:noWrap/>
                </w:tcPr>
                <w:p>
                  <w:pPr>
                    <w:widowControl/>
                    <w:jc w:val="center"/>
                    <w:rPr>
                      <w:rFonts w:cs="宋体"/>
                      <w:kern w:val="0"/>
                      <w:szCs w:val="22"/>
                    </w:rPr>
                  </w:pPr>
                  <w:r>
                    <w:t>2.03</w:t>
                  </w:r>
                </w:p>
              </w:tc>
              <w:tc>
                <w:tcPr>
                  <w:tcW w:w="1275" w:type="dxa"/>
                  <w:noWrap/>
                </w:tcPr>
                <w:p>
                  <w:pPr>
                    <w:widowControl/>
                    <w:jc w:val="center"/>
                    <w:rPr>
                      <w:rFonts w:cs="宋体"/>
                      <w:kern w:val="0"/>
                      <w:szCs w:val="22"/>
                    </w:rPr>
                  </w:pPr>
                  <w:r>
                    <w:t xml:space="preserve">0.00053 </w:t>
                  </w:r>
                </w:p>
              </w:tc>
              <w:tc>
                <w:tcPr>
                  <w:tcW w:w="1134" w:type="dxa"/>
                  <w:noWrap/>
                </w:tcPr>
                <w:p>
                  <w:pPr>
                    <w:widowControl/>
                    <w:jc w:val="center"/>
                    <w:rPr>
                      <w:rFonts w:cs="宋体"/>
                      <w:kern w:val="0"/>
                      <w:szCs w:val="22"/>
                    </w:rPr>
                  </w:pPr>
                  <w: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600</w:t>
                  </w:r>
                </w:p>
              </w:tc>
              <w:tc>
                <w:tcPr>
                  <w:tcW w:w="1275" w:type="dxa"/>
                  <w:noWrap/>
                </w:tcPr>
                <w:p>
                  <w:pPr>
                    <w:widowControl/>
                    <w:jc w:val="center"/>
                    <w:rPr>
                      <w:rFonts w:cs="宋体"/>
                      <w:kern w:val="0"/>
                      <w:szCs w:val="22"/>
                    </w:rPr>
                  </w:pPr>
                  <w:r>
                    <w:t xml:space="preserve">0.00045 </w:t>
                  </w:r>
                </w:p>
              </w:tc>
              <w:tc>
                <w:tcPr>
                  <w:tcW w:w="1276" w:type="dxa"/>
                  <w:noWrap/>
                </w:tcPr>
                <w:p>
                  <w:pPr>
                    <w:widowControl/>
                    <w:jc w:val="center"/>
                    <w:rPr>
                      <w:rFonts w:cs="宋体"/>
                      <w:kern w:val="0"/>
                      <w:szCs w:val="22"/>
                    </w:rPr>
                  </w:pPr>
                  <w:r>
                    <w:t>0.09</w:t>
                  </w:r>
                </w:p>
              </w:tc>
              <w:tc>
                <w:tcPr>
                  <w:tcW w:w="1308" w:type="dxa"/>
                  <w:noWrap/>
                </w:tcPr>
                <w:p>
                  <w:pPr>
                    <w:widowControl/>
                    <w:jc w:val="center"/>
                    <w:rPr>
                      <w:rFonts w:cs="宋体"/>
                      <w:kern w:val="0"/>
                      <w:szCs w:val="22"/>
                    </w:rPr>
                  </w:pPr>
                  <w:r>
                    <w:t xml:space="preserve">0.00470 </w:t>
                  </w:r>
                </w:p>
              </w:tc>
              <w:tc>
                <w:tcPr>
                  <w:tcW w:w="993" w:type="dxa"/>
                  <w:noWrap/>
                </w:tcPr>
                <w:p>
                  <w:pPr>
                    <w:widowControl/>
                    <w:jc w:val="center"/>
                    <w:rPr>
                      <w:rFonts w:cs="宋体"/>
                      <w:kern w:val="0"/>
                      <w:szCs w:val="22"/>
                    </w:rPr>
                  </w:pPr>
                  <w:r>
                    <w:t>1.88</w:t>
                  </w:r>
                </w:p>
              </w:tc>
              <w:tc>
                <w:tcPr>
                  <w:tcW w:w="1275" w:type="dxa"/>
                  <w:noWrap/>
                </w:tcPr>
                <w:p>
                  <w:pPr>
                    <w:widowControl/>
                    <w:jc w:val="center"/>
                    <w:rPr>
                      <w:rFonts w:cs="宋体"/>
                      <w:kern w:val="0"/>
                      <w:szCs w:val="22"/>
                    </w:rPr>
                  </w:pPr>
                  <w:r>
                    <w:t xml:space="preserve">0.00050 </w:t>
                  </w:r>
                </w:p>
              </w:tc>
              <w:tc>
                <w:tcPr>
                  <w:tcW w:w="1134" w:type="dxa"/>
                  <w:noWrap/>
                </w:tcPr>
                <w:p>
                  <w:pPr>
                    <w:widowControl/>
                    <w:jc w:val="center"/>
                    <w:rPr>
                      <w:rFonts w:cs="宋体"/>
                      <w:kern w:val="0"/>
                      <w:szCs w:val="22"/>
                    </w:rPr>
                  </w:pPr>
                  <w: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700</w:t>
                  </w:r>
                </w:p>
              </w:tc>
              <w:tc>
                <w:tcPr>
                  <w:tcW w:w="1275" w:type="dxa"/>
                  <w:noWrap/>
                </w:tcPr>
                <w:p>
                  <w:pPr>
                    <w:widowControl/>
                    <w:jc w:val="center"/>
                    <w:rPr>
                      <w:rFonts w:cs="宋体"/>
                      <w:kern w:val="0"/>
                      <w:szCs w:val="22"/>
                    </w:rPr>
                  </w:pPr>
                  <w:r>
                    <w:t xml:space="preserve">0.00041 </w:t>
                  </w:r>
                </w:p>
              </w:tc>
              <w:tc>
                <w:tcPr>
                  <w:tcW w:w="1276" w:type="dxa"/>
                  <w:noWrap/>
                </w:tcPr>
                <w:p>
                  <w:pPr>
                    <w:widowControl/>
                    <w:jc w:val="center"/>
                    <w:rPr>
                      <w:rFonts w:cs="宋体"/>
                      <w:kern w:val="0"/>
                      <w:szCs w:val="22"/>
                    </w:rPr>
                  </w:pPr>
                  <w:r>
                    <w:t>0.08</w:t>
                  </w:r>
                </w:p>
              </w:tc>
              <w:tc>
                <w:tcPr>
                  <w:tcW w:w="1308" w:type="dxa"/>
                  <w:noWrap/>
                </w:tcPr>
                <w:p>
                  <w:pPr>
                    <w:widowControl/>
                    <w:jc w:val="center"/>
                    <w:rPr>
                      <w:rFonts w:cs="宋体"/>
                      <w:kern w:val="0"/>
                      <w:szCs w:val="22"/>
                    </w:rPr>
                  </w:pPr>
                  <w:r>
                    <w:t xml:space="preserve">0.00428 </w:t>
                  </w:r>
                </w:p>
              </w:tc>
              <w:tc>
                <w:tcPr>
                  <w:tcW w:w="993" w:type="dxa"/>
                  <w:noWrap/>
                </w:tcPr>
                <w:p>
                  <w:pPr>
                    <w:widowControl/>
                    <w:jc w:val="center"/>
                    <w:rPr>
                      <w:rFonts w:cs="宋体"/>
                      <w:kern w:val="0"/>
                      <w:szCs w:val="22"/>
                    </w:rPr>
                  </w:pPr>
                  <w:r>
                    <w:t>1.71</w:t>
                  </w:r>
                </w:p>
              </w:tc>
              <w:tc>
                <w:tcPr>
                  <w:tcW w:w="1275" w:type="dxa"/>
                  <w:noWrap/>
                </w:tcPr>
                <w:p>
                  <w:pPr>
                    <w:widowControl/>
                    <w:jc w:val="center"/>
                    <w:rPr>
                      <w:rFonts w:cs="宋体"/>
                      <w:kern w:val="0"/>
                      <w:szCs w:val="22"/>
                    </w:rPr>
                  </w:pPr>
                  <w:r>
                    <w:t xml:space="preserve">0.00045 </w:t>
                  </w:r>
                </w:p>
              </w:tc>
              <w:tc>
                <w:tcPr>
                  <w:tcW w:w="1134" w:type="dxa"/>
                  <w:noWrap/>
                </w:tcPr>
                <w:p>
                  <w:pPr>
                    <w:widowControl/>
                    <w:jc w:val="center"/>
                    <w:rPr>
                      <w:rFonts w:cs="宋体"/>
                      <w:kern w:val="0"/>
                      <w:szCs w:val="22"/>
                    </w:rPr>
                  </w:pPr>
                  <w: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800</w:t>
                  </w:r>
                </w:p>
              </w:tc>
              <w:tc>
                <w:tcPr>
                  <w:tcW w:w="1275" w:type="dxa"/>
                  <w:noWrap/>
                </w:tcPr>
                <w:p>
                  <w:pPr>
                    <w:widowControl/>
                    <w:jc w:val="center"/>
                    <w:rPr>
                      <w:rFonts w:cs="宋体"/>
                      <w:kern w:val="0"/>
                      <w:szCs w:val="22"/>
                    </w:rPr>
                  </w:pPr>
                  <w:r>
                    <w:t xml:space="preserve">0.00038 </w:t>
                  </w:r>
                </w:p>
              </w:tc>
              <w:tc>
                <w:tcPr>
                  <w:tcW w:w="1276" w:type="dxa"/>
                  <w:noWrap/>
                </w:tcPr>
                <w:p>
                  <w:pPr>
                    <w:widowControl/>
                    <w:jc w:val="center"/>
                    <w:rPr>
                      <w:rFonts w:cs="宋体"/>
                      <w:kern w:val="0"/>
                      <w:szCs w:val="22"/>
                    </w:rPr>
                  </w:pPr>
                  <w:r>
                    <w:t>0.08</w:t>
                  </w:r>
                </w:p>
              </w:tc>
              <w:tc>
                <w:tcPr>
                  <w:tcW w:w="1308" w:type="dxa"/>
                  <w:noWrap/>
                </w:tcPr>
                <w:p>
                  <w:pPr>
                    <w:widowControl/>
                    <w:jc w:val="center"/>
                    <w:rPr>
                      <w:rFonts w:cs="宋体"/>
                      <w:kern w:val="0"/>
                      <w:szCs w:val="22"/>
                    </w:rPr>
                  </w:pPr>
                  <w:r>
                    <w:t xml:space="preserve">0.00391 </w:t>
                  </w:r>
                </w:p>
              </w:tc>
              <w:tc>
                <w:tcPr>
                  <w:tcW w:w="993" w:type="dxa"/>
                  <w:noWrap/>
                </w:tcPr>
                <w:p>
                  <w:pPr>
                    <w:widowControl/>
                    <w:jc w:val="center"/>
                    <w:rPr>
                      <w:rFonts w:cs="宋体"/>
                      <w:kern w:val="0"/>
                      <w:szCs w:val="22"/>
                    </w:rPr>
                  </w:pPr>
                  <w:r>
                    <w:t>1.57</w:t>
                  </w:r>
                </w:p>
              </w:tc>
              <w:tc>
                <w:tcPr>
                  <w:tcW w:w="1275" w:type="dxa"/>
                  <w:noWrap/>
                </w:tcPr>
                <w:p>
                  <w:pPr>
                    <w:widowControl/>
                    <w:jc w:val="center"/>
                    <w:rPr>
                      <w:rFonts w:cs="宋体"/>
                      <w:kern w:val="0"/>
                      <w:szCs w:val="22"/>
                    </w:rPr>
                  </w:pPr>
                  <w:r>
                    <w:t xml:space="preserve">0.00041 </w:t>
                  </w:r>
                </w:p>
              </w:tc>
              <w:tc>
                <w:tcPr>
                  <w:tcW w:w="1134" w:type="dxa"/>
                  <w:noWrap/>
                </w:tcPr>
                <w:p>
                  <w:pPr>
                    <w:widowControl/>
                    <w:jc w:val="center"/>
                    <w:rPr>
                      <w:rFonts w:cs="宋体"/>
                      <w:kern w:val="0"/>
                      <w:szCs w:val="22"/>
                    </w:rPr>
                  </w:pPr>
                  <w: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900</w:t>
                  </w:r>
                </w:p>
              </w:tc>
              <w:tc>
                <w:tcPr>
                  <w:tcW w:w="1275" w:type="dxa"/>
                  <w:noWrap/>
                </w:tcPr>
                <w:p>
                  <w:pPr>
                    <w:widowControl/>
                    <w:jc w:val="center"/>
                    <w:rPr>
                      <w:rFonts w:cs="宋体"/>
                      <w:kern w:val="0"/>
                      <w:szCs w:val="22"/>
                    </w:rPr>
                  </w:pPr>
                  <w:r>
                    <w:t xml:space="preserve">0.00035 </w:t>
                  </w:r>
                </w:p>
              </w:tc>
              <w:tc>
                <w:tcPr>
                  <w:tcW w:w="1276" w:type="dxa"/>
                  <w:noWrap/>
                </w:tcPr>
                <w:p>
                  <w:pPr>
                    <w:widowControl/>
                    <w:jc w:val="center"/>
                    <w:rPr>
                      <w:rFonts w:cs="宋体"/>
                      <w:kern w:val="0"/>
                      <w:szCs w:val="22"/>
                    </w:rPr>
                  </w:pPr>
                  <w:r>
                    <w:t>0.07</w:t>
                  </w:r>
                </w:p>
              </w:tc>
              <w:tc>
                <w:tcPr>
                  <w:tcW w:w="1308" w:type="dxa"/>
                  <w:noWrap/>
                </w:tcPr>
                <w:p>
                  <w:pPr>
                    <w:widowControl/>
                    <w:jc w:val="center"/>
                    <w:rPr>
                      <w:rFonts w:cs="宋体"/>
                      <w:kern w:val="0"/>
                      <w:szCs w:val="22"/>
                    </w:rPr>
                  </w:pPr>
                  <w:r>
                    <w:t xml:space="preserve">0.00360 </w:t>
                  </w:r>
                </w:p>
              </w:tc>
              <w:tc>
                <w:tcPr>
                  <w:tcW w:w="993" w:type="dxa"/>
                  <w:noWrap/>
                </w:tcPr>
                <w:p>
                  <w:pPr>
                    <w:widowControl/>
                    <w:jc w:val="center"/>
                    <w:rPr>
                      <w:rFonts w:cs="宋体"/>
                      <w:kern w:val="0"/>
                      <w:szCs w:val="22"/>
                    </w:rPr>
                  </w:pPr>
                  <w:r>
                    <w:t>1.44</w:t>
                  </w:r>
                </w:p>
              </w:tc>
              <w:tc>
                <w:tcPr>
                  <w:tcW w:w="1275" w:type="dxa"/>
                  <w:noWrap/>
                </w:tcPr>
                <w:p>
                  <w:pPr>
                    <w:widowControl/>
                    <w:jc w:val="center"/>
                    <w:rPr>
                      <w:rFonts w:cs="宋体"/>
                      <w:kern w:val="0"/>
                      <w:szCs w:val="22"/>
                    </w:rPr>
                  </w:pPr>
                  <w:r>
                    <w:t xml:space="preserve">0.00038 </w:t>
                  </w:r>
                </w:p>
              </w:tc>
              <w:tc>
                <w:tcPr>
                  <w:tcW w:w="1134" w:type="dxa"/>
                  <w:noWrap/>
                </w:tcPr>
                <w:p>
                  <w:pPr>
                    <w:widowControl/>
                    <w:jc w:val="center"/>
                    <w:rPr>
                      <w:rFonts w:cs="宋体"/>
                      <w:kern w:val="0"/>
                      <w:szCs w:val="22"/>
                    </w:rPr>
                  </w:pPr>
                  <w: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1000</w:t>
                  </w:r>
                </w:p>
              </w:tc>
              <w:tc>
                <w:tcPr>
                  <w:tcW w:w="1275" w:type="dxa"/>
                  <w:noWrap/>
                </w:tcPr>
                <w:p>
                  <w:pPr>
                    <w:widowControl/>
                    <w:jc w:val="center"/>
                    <w:rPr>
                      <w:rFonts w:cs="宋体"/>
                      <w:kern w:val="0"/>
                      <w:szCs w:val="22"/>
                    </w:rPr>
                  </w:pPr>
                  <w:r>
                    <w:t xml:space="preserve">0.00032 </w:t>
                  </w:r>
                </w:p>
              </w:tc>
              <w:tc>
                <w:tcPr>
                  <w:tcW w:w="1276" w:type="dxa"/>
                  <w:noWrap/>
                </w:tcPr>
                <w:p>
                  <w:pPr>
                    <w:widowControl/>
                    <w:jc w:val="center"/>
                    <w:rPr>
                      <w:rFonts w:cs="宋体"/>
                      <w:kern w:val="0"/>
                      <w:szCs w:val="22"/>
                    </w:rPr>
                  </w:pPr>
                  <w:r>
                    <w:t>0.06</w:t>
                  </w:r>
                </w:p>
              </w:tc>
              <w:tc>
                <w:tcPr>
                  <w:tcW w:w="1308" w:type="dxa"/>
                  <w:noWrap/>
                </w:tcPr>
                <w:p>
                  <w:pPr>
                    <w:widowControl/>
                    <w:jc w:val="center"/>
                    <w:rPr>
                      <w:rFonts w:cs="宋体"/>
                      <w:kern w:val="0"/>
                      <w:szCs w:val="22"/>
                    </w:rPr>
                  </w:pPr>
                  <w:r>
                    <w:t xml:space="preserve">0.00332 </w:t>
                  </w:r>
                </w:p>
              </w:tc>
              <w:tc>
                <w:tcPr>
                  <w:tcW w:w="993" w:type="dxa"/>
                  <w:noWrap/>
                </w:tcPr>
                <w:p>
                  <w:pPr>
                    <w:widowControl/>
                    <w:jc w:val="center"/>
                    <w:rPr>
                      <w:rFonts w:cs="宋体"/>
                      <w:kern w:val="0"/>
                      <w:szCs w:val="22"/>
                    </w:rPr>
                  </w:pPr>
                  <w:r>
                    <w:t>1.33</w:t>
                  </w:r>
                </w:p>
              </w:tc>
              <w:tc>
                <w:tcPr>
                  <w:tcW w:w="1275" w:type="dxa"/>
                  <w:noWrap/>
                </w:tcPr>
                <w:p>
                  <w:pPr>
                    <w:widowControl/>
                    <w:jc w:val="center"/>
                    <w:rPr>
                      <w:rFonts w:cs="宋体"/>
                      <w:kern w:val="0"/>
                      <w:szCs w:val="22"/>
                    </w:rPr>
                  </w:pPr>
                  <w:r>
                    <w:t xml:space="preserve">0.00035 </w:t>
                  </w:r>
                </w:p>
              </w:tc>
              <w:tc>
                <w:tcPr>
                  <w:tcW w:w="1134" w:type="dxa"/>
                  <w:noWrap/>
                </w:tcPr>
                <w:p>
                  <w:pPr>
                    <w:widowControl/>
                    <w:jc w:val="center"/>
                    <w:rPr>
                      <w:rFonts w:cs="宋体"/>
                      <w:kern w:val="0"/>
                      <w:szCs w:val="22"/>
                    </w:rPr>
                  </w:pPr>
                  <w: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1100</w:t>
                  </w:r>
                </w:p>
              </w:tc>
              <w:tc>
                <w:tcPr>
                  <w:tcW w:w="1275" w:type="dxa"/>
                  <w:noWrap/>
                </w:tcPr>
                <w:p>
                  <w:pPr>
                    <w:widowControl/>
                    <w:jc w:val="center"/>
                    <w:rPr>
                      <w:rFonts w:cs="宋体"/>
                      <w:kern w:val="0"/>
                      <w:szCs w:val="22"/>
                    </w:rPr>
                  </w:pPr>
                  <w:r>
                    <w:t xml:space="preserve">0.00030 </w:t>
                  </w:r>
                </w:p>
              </w:tc>
              <w:tc>
                <w:tcPr>
                  <w:tcW w:w="1276" w:type="dxa"/>
                  <w:noWrap/>
                </w:tcPr>
                <w:p>
                  <w:pPr>
                    <w:widowControl/>
                    <w:jc w:val="center"/>
                    <w:rPr>
                      <w:rFonts w:cs="宋体"/>
                      <w:kern w:val="0"/>
                      <w:szCs w:val="22"/>
                    </w:rPr>
                  </w:pPr>
                  <w:r>
                    <w:t>0.06</w:t>
                  </w:r>
                </w:p>
              </w:tc>
              <w:tc>
                <w:tcPr>
                  <w:tcW w:w="1308" w:type="dxa"/>
                  <w:noWrap/>
                </w:tcPr>
                <w:p>
                  <w:pPr>
                    <w:widowControl/>
                    <w:jc w:val="center"/>
                    <w:rPr>
                      <w:rFonts w:cs="宋体"/>
                      <w:kern w:val="0"/>
                      <w:szCs w:val="22"/>
                    </w:rPr>
                  </w:pPr>
                  <w:r>
                    <w:t xml:space="preserve">0.00305 </w:t>
                  </w:r>
                </w:p>
              </w:tc>
              <w:tc>
                <w:tcPr>
                  <w:tcW w:w="993" w:type="dxa"/>
                  <w:noWrap/>
                </w:tcPr>
                <w:p>
                  <w:pPr>
                    <w:widowControl/>
                    <w:jc w:val="center"/>
                    <w:rPr>
                      <w:rFonts w:cs="宋体"/>
                      <w:kern w:val="0"/>
                      <w:szCs w:val="22"/>
                    </w:rPr>
                  </w:pPr>
                  <w:r>
                    <w:t>1.22</w:t>
                  </w:r>
                </w:p>
              </w:tc>
              <w:tc>
                <w:tcPr>
                  <w:tcW w:w="1275" w:type="dxa"/>
                  <w:noWrap/>
                </w:tcPr>
                <w:p>
                  <w:pPr>
                    <w:widowControl/>
                    <w:jc w:val="center"/>
                    <w:rPr>
                      <w:rFonts w:cs="宋体"/>
                      <w:kern w:val="0"/>
                      <w:szCs w:val="22"/>
                    </w:rPr>
                  </w:pPr>
                  <w:r>
                    <w:t xml:space="preserve">0.00032 </w:t>
                  </w:r>
                </w:p>
              </w:tc>
              <w:tc>
                <w:tcPr>
                  <w:tcW w:w="1134" w:type="dxa"/>
                  <w:noWrap/>
                </w:tcPr>
                <w:p>
                  <w:pPr>
                    <w:widowControl/>
                    <w:jc w:val="center"/>
                    <w:rPr>
                      <w:rFonts w:cs="宋体"/>
                      <w:kern w:val="0"/>
                      <w:szCs w:val="22"/>
                    </w:rPr>
                  </w:pPr>
                  <w: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1200</w:t>
                  </w:r>
                </w:p>
              </w:tc>
              <w:tc>
                <w:tcPr>
                  <w:tcW w:w="1275" w:type="dxa"/>
                  <w:noWrap/>
                </w:tcPr>
                <w:p>
                  <w:pPr>
                    <w:widowControl/>
                    <w:jc w:val="center"/>
                    <w:rPr>
                      <w:rFonts w:cs="宋体"/>
                      <w:kern w:val="0"/>
                      <w:szCs w:val="22"/>
                    </w:rPr>
                  </w:pPr>
                  <w:r>
                    <w:t xml:space="preserve">0.00027 </w:t>
                  </w:r>
                </w:p>
              </w:tc>
              <w:tc>
                <w:tcPr>
                  <w:tcW w:w="1276" w:type="dxa"/>
                  <w:noWrap/>
                </w:tcPr>
                <w:p>
                  <w:pPr>
                    <w:widowControl/>
                    <w:jc w:val="center"/>
                    <w:rPr>
                      <w:rFonts w:cs="宋体"/>
                      <w:kern w:val="0"/>
                      <w:szCs w:val="22"/>
                    </w:rPr>
                  </w:pPr>
                  <w:r>
                    <w:t>0.05</w:t>
                  </w:r>
                </w:p>
              </w:tc>
              <w:tc>
                <w:tcPr>
                  <w:tcW w:w="1308" w:type="dxa"/>
                  <w:noWrap/>
                </w:tcPr>
                <w:p>
                  <w:pPr>
                    <w:widowControl/>
                    <w:jc w:val="center"/>
                    <w:rPr>
                      <w:rFonts w:cs="宋体"/>
                      <w:kern w:val="0"/>
                      <w:szCs w:val="22"/>
                    </w:rPr>
                  </w:pPr>
                  <w:r>
                    <w:t xml:space="preserve">0.00282 </w:t>
                  </w:r>
                </w:p>
              </w:tc>
              <w:tc>
                <w:tcPr>
                  <w:tcW w:w="993" w:type="dxa"/>
                  <w:noWrap/>
                </w:tcPr>
                <w:p>
                  <w:pPr>
                    <w:widowControl/>
                    <w:jc w:val="center"/>
                    <w:rPr>
                      <w:rFonts w:cs="宋体"/>
                      <w:kern w:val="0"/>
                      <w:szCs w:val="22"/>
                    </w:rPr>
                  </w:pPr>
                  <w:r>
                    <w:t>1.13</w:t>
                  </w:r>
                </w:p>
              </w:tc>
              <w:tc>
                <w:tcPr>
                  <w:tcW w:w="1275" w:type="dxa"/>
                  <w:noWrap/>
                </w:tcPr>
                <w:p>
                  <w:pPr>
                    <w:widowControl/>
                    <w:jc w:val="center"/>
                    <w:rPr>
                      <w:rFonts w:cs="宋体"/>
                      <w:kern w:val="0"/>
                      <w:szCs w:val="22"/>
                    </w:rPr>
                  </w:pPr>
                  <w:r>
                    <w:t xml:space="preserve">0.00030 </w:t>
                  </w:r>
                </w:p>
              </w:tc>
              <w:tc>
                <w:tcPr>
                  <w:tcW w:w="1134" w:type="dxa"/>
                  <w:noWrap/>
                </w:tcPr>
                <w:p>
                  <w:pPr>
                    <w:widowControl/>
                    <w:jc w:val="center"/>
                    <w:rPr>
                      <w:rFonts w:cs="宋体"/>
                      <w:kern w:val="0"/>
                      <w:szCs w:val="22"/>
                    </w:rPr>
                  </w:pPr>
                  <w: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1300</w:t>
                  </w:r>
                </w:p>
              </w:tc>
              <w:tc>
                <w:tcPr>
                  <w:tcW w:w="1275" w:type="dxa"/>
                  <w:noWrap/>
                </w:tcPr>
                <w:p>
                  <w:pPr>
                    <w:widowControl/>
                    <w:jc w:val="center"/>
                    <w:rPr>
                      <w:rFonts w:cs="宋体"/>
                      <w:kern w:val="0"/>
                      <w:szCs w:val="22"/>
                    </w:rPr>
                  </w:pPr>
                  <w:r>
                    <w:t xml:space="preserve">0.00025 </w:t>
                  </w:r>
                </w:p>
              </w:tc>
              <w:tc>
                <w:tcPr>
                  <w:tcW w:w="1276" w:type="dxa"/>
                  <w:noWrap/>
                </w:tcPr>
                <w:p>
                  <w:pPr>
                    <w:widowControl/>
                    <w:jc w:val="center"/>
                    <w:rPr>
                      <w:rFonts w:cs="宋体"/>
                      <w:kern w:val="0"/>
                      <w:szCs w:val="22"/>
                    </w:rPr>
                  </w:pPr>
                  <w:r>
                    <w:t>0.05</w:t>
                  </w:r>
                </w:p>
              </w:tc>
              <w:tc>
                <w:tcPr>
                  <w:tcW w:w="1308" w:type="dxa"/>
                  <w:noWrap/>
                </w:tcPr>
                <w:p>
                  <w:pPr>
                    <w:widowControl/>
                    <w:jc w:val="center"/>
                    <w:rPr>
                      <w:rFonts w:cs="宋体"/>
                      <w:kern w:val="0"/>
                      <w:szCs w:val="22"/>
                    </w:rPr>
                  </w:pPr>
                  <w:r>
                    <w:t xml:space="preserve">0.00261 </w:t>
                  </w:r>
                </w:p>
              </w:tc>
              <w:tc>
                <w:tcPr>
                  <w:tcW w:w="993" w:type="dxa"/>
                  <w:noWrap/>
                </w:tcPr>
                <w:p>
                  <w:pPr>
                    <w:widowControl/>
                    <w:jc w:val="center"/>
                    <w:rPr>
                      <w:rFonts w:cs="宋体"/>
                      <w:kern w:val="0"/>
                      <w:szCs w:val="22"/>
                    </w:rPr>
                  </w:pPr>
                  <w:r>
                    <w:t>1.04</w:t>
                  </w:r>
                </w:p>
              </w:tc>
              <w:tc>
                <w:tcPr>
                  <w:tcW w:w="1275" w:type="dxa"/>
                  <w:noWrap/>
                </w:tcPr>
                <w:p>
                  <w:pPr>
                    <w:widowControl/>
                    <w:jc w:val="center"/>
                    <w:rPr>
                      <w:rFonts w:cs="宋体"/>
                      <w:kern w:val="0"/>
                      <w:szCs w:val="22"/>
                    </w:rPr>
                  </w:pPr>
                  <w:r>
                    <w:t xml:space="preserve">0.00028 </w:t>
                  </w:r>
                </w:p>
              </w:tc>
              <w:tc>
                <w:tcPr>
                  <w:tcW w:w="1134" w:type="dxa"/>
                  <w:noWrap/>
                </w:tcPr>
                <w:p>
                  <w:pPr>
                    <w:widowControl/>
                    <w:jc w:val="center"/>
                    <w:rPr>
                      <w:rFonts w:cs="宋体"/>
                      <w:kern w:val="0"/>
                      <w:szCs w:val="22"/>
                    </w:rPr>
                  </w:pPr>
                  <w: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1400</w:t>
                  </w:r>
                </w:p>
              </w:tc>
              <w:tc>
                <w:tcPr>
                  <w:tcW w:w="1275" w:type="dxa"/>
                  <w:noWrap/>
                </w:tcPr>
                <w:p>
                  <w:pPr>
                    <w:widowControl/>
                    <w:jc w:val="center"/>
                    <w:rPr>
                      <w:rFonts w:cs="宋体"/>
                      <w:kern w:val="0"/>
                      <w:szCs w:val="22"/>
                    </w:rPr>
                  </w:pPr>
                  <w:r>
                    <w:t xml:space="preserve">0.00023 </w:t>
                  </w:r>
                </w:p>
              </w:tc>
              <w:tc>
                <w:tcPr>
                  <w:tcW w:w="1276" w:type="dxa"/>
                  <w:noWrap/>
                </w:tcPr>
                <w:p>
                  <w:pPr>
                    <w:widowControl/>
                    <w:jc w:val="center"/>
                    <w:rPr>
                      <w:rFonts w:cs="宋体"/>
                      <w:kern w:val="0"/>
                      <w:szCs w:val="22"/>
                    </w:rPr>
                  </w:pPr>
                  <w:r>
                    <w:t>0.05</w:t>
                  </w:r>
                </w:p>
              </w:tc>
              <w:tc>
                <w:tcPr>
                  <w:tcW w:w="1308" w:type="dxa"/>
                  <w:noWrap/>
                </w:tcPr>
                <w:p>
                  <w:pPr>
                    <w:widowControl/>
                    <w:jc w:val="center"/>
                    <w:rPr>
                      <w:rFonts w:cs="宋体"/>
                      <w:kern w:val="0"/>
                      <w:szCs w:val="22"/>
                    </w:rPr>
                  </w:pPr>
                  <w:r>
                    <w:t xml:space="preserve">0.00242 </w:t>
                  </w:r>
                </w:p>
              </w:tc>
              <w:tc>
                <w:tcPr>
                  <w:tcW w:w="993" w:type="dxa"/>
                  <w:noWrap/>
                </w:tcPr>
                <w:p>
                  <w:pPr>
                    <w:widowControl/>
                    <w:jc w:val="center"/>
                    <w:rPr>
                      <w:rFonts w:cs="宋体"/>
                      <w:kern w:val="0"/>
                      <w:szCs w:val="22"/>
                    </w:rPr>
                  </w:pPr>
                  <w:r>
                    <w:t>0.97</w:t>
                  </w:r>
                </w:p>
              </w:tc>
              <w:tc>
                <w:tcPr>
                  <w:tcW w:w="1275" w:type="dxa"/>
                  <w:noWrap/>
                </w:tcPr>
                <w:p>
                  <w:pPr>
                    <w:widowControl/>
                    <w:jc w:val="center"/>
                    <w:rPr>
                      <w:rFonts w:cs="宋体"/>
                      <w:kern w:val="0"/>
                      <w:szCs w:val="22"/>
                    </w:rPr>
                  </w:pPr>
                  <w:r>
                    <w:t xml:space="preserve">0.00026 </w:t>
                  </w:r>
                </w:p>
              </w:tc>
              <w:tc>
                <w:tcPr>
                  <w:tcW w:w="1134" w:type="dxa"/>
                  <w:noWrap/>
                </w:tcPr>
                <w:p>
                  <w:pPr>
                    <w:widowControl/>
                    <w:jc w:val="center"/>
                    <w:rPr>
                      <w:rFonts w:cs="宋体"/>
                      <w:kern w:val="0"/>
                      <w:szCs w:val="22"/>
                    </w:rPr>
                  </w:pPr>
                  <w: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1500</w:t>
                  </w:r>
                </w:p>
              </w:tc>
              <w:tc>
                <w:tcPr>
                  <w:tcW w:w="1275" w:type="dxa"/>
                  <w:noWrap/>
                </w:tcPr>
                <w:p>
                  <w:pPr>
                    <w:widowControl/>
                    <w:jc w:val="center"/>
                    <w:rPr>
                      <w:rFonts w:cs="宋体"/>
                      <w:kern w:val="0"/>
                      <w:szCs w:val="22"/>
                    </w:rPr>
                  </w:pPr>
                  <w:r>
                    <w:t xml:space="preserve">0.00022 </w:t>
                  </w:r>
                </w:p>
              </w:tc>
              <w:tc>
                <w:tcPr>
                  <w:tcW w:w="1276" w:type="dxa"/>
                  <w:noWrap/>
                </w:tcPr>
                <w:p>
                  <w:pPr>
                    <w:widowControl/>
                    <w:jc w:val="center"/>
                    <w:rPr>
                      <w:rFonts w:cs="宋体"/>
                      <w:kern w:val="0"/>
                      <w:szCs w:val="22"/>
                    </w:rPr>
                  </w:pPr>
                  <w:r>
                    <w:t>0.04</w:t>
                  </w:r>
                </w:p>
              </w:tc>
              <w:tc>
                <w:tcPr>
                  <w:tcW w:w="1308" w:type="dxa"/>
                  <w:noWrap/>
                </w:tcPr>
                <w:p>
                  <w:pPr>
                    <w:widowControl/>
                    <w:jc w:val="center"/>
                    <w:rPr>
                      <w:rFonts w:cs="宋体"/>
                      <w:kern w:val="0"/>
                      <w:szCs w:val="22"/>
                    </w:rPr>
                  </w:pPr>
                  <w:r>
                    <w:t xml:space="preserve">0.00226 </w:t>
                  </w:r>
                </w:p>
              </w:tc>
              <w:tc>
                <w:tcPr>
                  <w:tcW w:w="993" w:type="dxa"/>
                  <w:noWrap/>
                </w:tcPr>
                <w:p>
                  <w:pPr>
                    <w:widowControl/>
                    <w:jc w:val="center"/>
                    <w:rPr>
                      <w:rFonts w:cs="宋体"/>
                      <w:kern w:val="0"/>
                      <w:szCs w:val="22"/>
                    </w:rPr>
                  </w:pPr>
                  <w:r>
                    <w:t>0.9</w:t>
                  </w:r>
                </w:p>
              </w:tc>
              <w:tc>
                <w:tcPr>
                  <w:tcW w:w="1275" w:type="dxa"/>
                  <w:noWrap/>
                </w:tcPr>
                <w:p>
                  <w:pPr>
                    <w:widowControl/>
                    <w:jc w:val="center"/>
                    <w:rPr>
                      <w:rFonts w:cs="宋体"/>
                      <w:kern w:val="0"/>
                      <w:szCs w:val="22"/>
                    </w:rPr>
                  </w:pPr>
                  <w:r>
                    <w:t xml:space="preserve">0.00024 </w:t>
                  </w:r>
                </w:p>
              </w:tc>
              <w:tc>
                <w:tcPr>
                  <w:tcW w:w="1134" w:type="dxa"/>
                  <w:noWrap/>
                </w:tcPr>
                <w:p>
                  <w:pPr>
                    <w:widowControl/>
                    <w:jc w:val="center"/>
                    <w:rPr>
                      <w:rFonts w:cs="宋体"/>
                      <w:kern w:val="0"/>
                      <w:szCs w:val="22"/>
                    </w:rPr>
                  </w:pPr>
                  <w: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1600</w:t>
                  </w:r>
                </w:p>
              </w:tc>
              <w:tc>
                <w:tcPr>
                  <w:tcW w:w="1275" w:type="dxa"/>
                  <w:noWrap/>
                </w:tcPr>
                <w:p>
                  <w:pPr>
                    <w:widowControl/>
                    <w:jc w:val="center"/>
                    <w:rPr>
                      <w:rFonts w:cs="宋体"/>
                      <w:kern w:val="0"/>
                      <w:szCs w:val="22"/>
                    </w:rPr>
                  </w:pPr>
                  <w:r>
                    <w:t xml:space="preserve">0.00020 </w:t>
                  </w:r>
                </w:p>
              </w:tc>
              <w:tc>
                <w:tcPr>
                  <w:tcW w:w="1276" w:type="dxa"/>
                  <w:noWrap/>
                </w:tcPr>
                <w:p>
                  <w:pPr>
                    <w:widowControl/>
                    <w:jc w:val="center"/>
                    <w:rPr>
                      <w:rFonts w:cs="宋体"/>
                      <w:kern w:val="0"/>
                      <w:szCs w:val="22"/>
                    </w:rPr>
                  </w:pPr>
                  <w:r>
                    <w:t>0.04</w:t>
                  </w:r>
                </w:p>
              </w:tc>
              <w:tc>
                <w:tcPr>
                  <w:tcW w:w="1308" w:type="dxa"/>
                  <w:noWrap/>
                </w:tcPr>
                <w:p>
                  <w:pPr>
                    <w:widowControl/>
                    <w:jc w:val="center"/>
                    <w:rPr>
                      <w:rFonts w:cs="宋体"/>
                      <w:kern w:val="0"/>
                      <w:szCs w:val="22"/>
                    </w:rPr>
                  </w:pPr>
                  <w:r>
                    <w:t xml:space="preserve">0.00211 </w:t>
                  </w:r>
                </w:p>
              </w:tc>
              <w:tc>
                <w:tcPr>
                  <w:tcW w:w="993" w:type="dxa"/>
                  <w:noWrap/>
                </w:tcPr>
                <w:p>
                  <w:pPr>
                    <w:widowControl/>
                    <w:jc w:val="center"/>
                    <w:rPr>
                      <w:rFonts w:cs="宋体"/>
                      <w:kern w:val="0"/>
                      <w:szCs w:val="22"/>
                    </w:rPr>
                  </w:pPr>
                  <w:r>
                    <w:t>0.84</w:t>
                  </w:r>
                </w:p>
              </w:tc>
              <w:tc>
                <w:tcPr>
                  <w:tcW w:w="1275" w:type="dxa"/>
                  <w:noWrap/>
                </w:tcPr>
                <w:p>
                  <w:pPr>
                    <w:widowControl/>
                    <w:jc w:val="center"/>
                    <w:rPr>
                      <w:rFonts w:cs="宋体"/>
                      <w:kern w:val="0"/>
                      <w:szCs w:val="22"/>
                    </w:rPr>
                  </w:pPr>
                  <w:r>
                    <w:t xml:space="preserve">0.00022 </w:t>
                  </w:r>
                </w:p>
              </w:tc>
              <w:tc>
                <w:tcPr>
                  <w:tcW w:w="1134" w:type="dxa"/>
                  <w:noWrap/>
                </w:tcPr>
                <w:p>
                  <w:pPr>
                    <w:widowControl/>
                    <w:jc w:val="center"/>
                    <w:rPr>
                      <w:rFonts w:cs="宋体"/>
                      <w:kern w:val="0"/>
                      <w:szCs w:val="22"/>
                    </w:rPr>
                  </w:pP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1700</w:t>
                  </w:r>
                </w:p>
              </w:tc>
              <w:tc>
                <w:tcPr>
                  <w:tcW w:w="1275" w:type="dxa"/>
                  <w:noWrap/>
                </w:tcPr>
                <w:p>
                  <w:pPr>
                    <w:widowControl/>
                    <w:jc w:val="center"/>
                    <w:rPr>
                      <w:rFonts w:cs="宋体"/>
                      <w:kern w:val="0"/>
                      <w:szCs w:val="22"/>
                    </w:rPr>
                  </w:pPr>
                  <w:r>
                    <w:t xml:space="preserve">0.00019 </w:t>
                  </w:r>
                </w:p>
              </w:tc>
              <w:tc>
                <w:tcPr>
                  <w:tcW w:w="1276" w:type="dxa"/>
                  <w:noWrap/>
                </w:tcPr>
                <w:p>
                  <w:pPr>
                    <w:widowControl/>
                    <w:jc w:val="center"/>
                    <w:rPr>
                      <w:rFonts w:cs="宋体"/>
                      <w:kern w:val="0"/>
                      <w:szCs w:val="22"/>
                    </w:rPr>
                  </w:pPr>
                  <w:r>
                    <w:t>0.04</w:t>
                  </w:r>
                </w:p>
              </w:tc>
              <w:tc>
                <w:tcPr>
                  <w:tcW w:w="1308" w:type="dxa"/>
                  <w:noWrap/>
                </w:tcPr>
                <w:p>
                  <w:pPr>
                    <w:widowControl/>
                    <w:jc w:val="center"/>
                    <w:rPr>
                      <w:rFonts w:cs="宋体"/>
                      <w:kern w:val="0"/>
                      <w:szCs w:val="22"/>
                    </w:rPr>
                  </w:pPr>
                  <w:r>
                    <w:t xml:space="preserve">0.00197 </w:t>
                  </w:r>
                </w:p>
              </w:tc>
              <w:tc>
                <w:tcPr>
                  <w:tcW w:w="993" w:type="dxa"/>
                  <w:noWrap/>
                </w:tcPr>
                <w:p>
                  <w:pPr>
                    <w:widowControl/>
                    <w:jc w:val="center"/>
                    <w:rPr>
                      <w:rFonts w:cs="宋体"/>
                      <w:kern w:val="0"/>
                      <w:szCs w:val="22"/>
                    </w:rPr>
                  </w:pPr>
                  <w:r>
                    <w:t>0.79</w:t>
                  </w:r>
                </w:p>
              </w:tc>
              <w:tc>
                <w:tcPr>
                  <w:tcW w:w="1275" w:type="dxa"/>
                  <w:noWrap/>
                </w:tcPr>
                <w:p>
                  <w:pPr>
                    <w:widowControl/>
                    <w:jc w:val="center"/>
                    <w:rPr>
                      <w:rFonts w:cs="宋体"/>
                      <w:kern w:val="0"/>
                      <w:szCs w:val="22"/>
                    </w:rPr>
                  </w:pPr>
                  <w:r>
                    <w:t xml:space="preserve">0.00021 </w:t>
                  </w:r>
                </w:p>
              </w:tc>
              <w:tc>
                <w:tcPr>
                  <w:tcW w:w="1134" w:type="dxa"/>
                  <w:noWrap/>
                </w:tcPr>
                <w:p>
                  <w:pPr>
                    <w:widowControl/>
                    <w:jc w:val="center"/>
                    <w:rPr>
                      <w:rFonts w:cs="宋体"/>
                      <w:kern w:val="0"/>
                      <w:szCs w:val="22"/>
                    </w:rPr>
                  </w:pP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1800</w:t>
                  </w:r>
                </w:p>
              </w:tc>
              <w:tc>
                <w:tcPr>
                  <w:tcW w:w="1275" w:type="dxa"/>
                  <w:noWrap/>
                </w:tcPr>
                <w:p>
                  <w:pPr>
                    <w:widowControl/>
                    <w:jc w:val="center"/>
                    <w:rPr>
                      <w:rFonts w:cs="宋体"/>
                      <w:kern w:val="0"/>
                      <w:szCs w:val="22"/>
                    </w:rPr>
                  </w:pPr>
                  <w:r>
                    <w:t xml:space="preserve">0.00018 </w:t>
                  </w:r>
                </w:p>
              </w:tc>
              <w:tc>
                <w:tcPr>
                  <w:tcW w:w="1276" w:type="dxa"/>
                  <w:noWrap/>
                </w:tcPr>
                <w:p>
                  <w:pPr>
                    <w:widowControl/>
                    <w:jc w:val="center"/>
                    <w:rPr>
                      <w:rFonts w:cs="宋体"/>
                      <w:kern w:val="0"/>
                      <w:szCs w:val="22"/>
                    </w:rPr>
                  </w:pPr>
                  <w:r>
                    <w:t>0.04</w:t>
                  </w:r>
                </w:p>
              </w:tc>
              <w:tc>
                <w:tcPr>
                  <w:tcW w:w="1308" w:type="dxa"/>
                  <w:noWrap/>
                </w:tcPr>
                <w:p>
                  <w:pPr>
                    <w:widowControl/>
                    <w:jc w:val="center"/>
                    <w:rPr>
                      <w:rFonts w:cs="宋体"/>
                      <w:kern w:val="0"/>
                      <w:szCs w:val="22"/>
                    </w:rPr>
                  </w:pPr>
                  <w:r>
                    <w:t xml:space="preserve">0.00185 </w:t>
                  </w:r>
                </w:p>
              </w:tc>
              <w:tc>
                <w:tcPr>
                  <w:tcW w:w="993" w:type="dxa"/>
                  <w:noWrap/>
                </w:tcPr>
                <w:p>
                  <w:pPr>
                    <w:widowControl/>
                    <w:jc w:val="center"/>
                    <w:rPr>
                      <w:rFonts w:cs="宋体"/>
                      <w:kern w:val="0"/>
                      <w:szCs w:val="22"/>
                    </w:rPr>
                  </w:pPr>
                  <w:r>
                    <w:t>0.74</w:t>
                  </w:r>
                </w:p>
              </w:tc>
              <w:tc>
                <w:tcPr>
                  <w:tcW w:w="1275" w:type="dxa"/>
                  <w:noWrap/>
                </w:tcPr>
                <w:p>
                  <w:pPr>
                    <w:widowControl/>
                    <w:jc w:val="center"/>
                    <w:rPr>
                      <w:rFonts w:cs="宋体"/>
                      <w:kern w:val="0"/>
                      <w:szCs w:val="22"/>
                    </w:rPr>
                  </w:pPr>
                  <w:r>
                    <w:t xml:space="preserve">0.00020 </w:t>
                  </w:r>
                </w:p>
              </w:tc>
              <w:tc>
                <w:tcPr>
                  <w:tcW w:w="1134" w:type="dxa"/>
                  <w:noWrap/>
                </w:tcPr>
                <w:p>
                  <w:pPr>
                    <w:widowControl/>
                    <w:jc w:val="center"/>
                    <w:rPr>
                      <w:rFonts w:cs="宋体"/>
                      <w:kern w:val="0"/>
                      <w:szCs w:val="22"/>
                    </w:rPr>
                  </w:pP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1900</w:t>
                  </w:r>
                </w:p>
              </w:tc>
              <w:tc>
                <w:tcPr>
                  <w:tcW w:w="1275" w:type="dxa"/>
                  <w:noWrap/>
                </w:tcPr>
                <w:p>
                  <w:pPr>
                    <w:widowControl/>
                    <w:jc w:val="center"/>
                    <w:rPr>
                      <w:rFonts w:cs="宋体"/>
                      <w:kern w:val="0"/>
                      <w:szCs w:val="22"/>
                    </w:rPr>
                  </w:pPr>
                  <w:r>
                    <w:t xml:space="preserve">0.00017 </w:t>
                  </w:r>
                </w:p>
              </w:tc>
              <w:tc>
                <w:tcPr>
                  <w:tcW w:w="1276" w:type="dxa"/>
                  <w:noWrap/>
                </w:tcPr>
                <w:p>
                  <w:pPr>
                    <w:widowControl/>
                    <w:jc w:val="center"/>
                    <w:rPr>
                      <w:rFonts w:cs="宋体"/>
                      <w:kern w:val="0"/>
                      <w:szCs w:val="22"/>
                    </w:rPr>
                  </w:pPr>
                  <w:r>
                    <w:t>0.03</w:t>
                  </w:r>
                </w:p>
              </w:tc>
              <w:tc>
                <w:tcPr>
                  <w:tcW w:w="1308" w:type="dxa"/>
                  <w:noWrap/>
                </w:tcPr>
                <w:p>
                  <w:pPr>
                    <w:widowControl/>
                    <w:jc w:val="center"/>
                    <w:rPr>
                      <w:rFonts w:cs="宋体"/>
                      <w:kern w:val="0"/>
                      <w:szCs w:val="22"/>
                    </w:rPr>
                  </w:pPr>
                  <w:r>
                    <w:t xml:space="preserve">0.00175 </w:t>
                  </w:r>
                </w:p>
              </w:tc>
              <w:tc>
                <w:tcPr>
                  <w:tcW w:w="993" w:type="dxa"/>
                  <w:noWrap/>
                </w:tcPr>
                <w:p>
                  <w:pPr>
                    <w:widowControl/>
                    <w:jc w:val="center"/>
                    <w:rPr>
                      <w:rFonts w:cs="宋体"/>
                      <w:kern w:val="0"/>
                      <w:szCs w:val="22"/>
                    </w:rPr>
                  </w:pPr>
                  <w:r>
                    <w:t>0.7</w:t>
                  </w:r>
                </w:p>
              </w:tc>
              <w:tc>
                <w:tcPr>
                  <w:tcW w:w="1275" w:type="dxa"/>
                  <w:noWrap/>
                </w:tcPr>
                <w:p>
                  <w:pPr>
                    <w:widowControl/>
                    <w:jc w:val="center"/>
                    <w:rPr>
                      <w:rFonts w:cs="宋体"/>
                      <w:kern w:val="0"/>
                      <w:szCs w:val="22"/>
                    </w:rPr>
                  </w:pPr>
                  <w:r>
                    <w:t xml:space="preserve">0.00018 </w:t>
                  </w:r>
                </w:p>
              </w:tc>
              <w:tc>
                <w:tcPr>
                  <w:tcW w:w="1134" w:type="dxa"/>
                  <w:noWrap/>
                </w:tcPr>
                <w:p>
                  <w:pPr>
                    <w:widowControl/>
                    <w:jc w:val="center"/>
                    <w:rPr>
                      <w:rFonts w:cs="宋体"/>
                      <w:kern w:val="0"/>
                      <w:szCs w:val="22"/>
                    </w:rPr>
                  </w:pP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2000</w:t>
                  </w:r>
                </w:p>
              </w:tc>
              <w:tc>
                <w:tcPr>
                  <w:tcW w:w="1275" w:type="dxa"/>
                  <w:noWrap/>
                </w:tcPr>
                <w:p>
                  <w:pPr>
                    <w:widowControl/>
                    <w:jc w:val="center"/>
                    <w:rPr>
                      <w:rFonts w:cs="宋体"/>
                      <w:kern w:val="0"/>
                      <w:szCs w:val="22"/>
                    </w:rPr>
                  </w:pPr>
                  <w:r>
                    <w:t xml:space="preserve">0.00016 </w:t>
                  </w:r>
                </w:p>
              </w:tc>
              <w:tc>
                <w:tcPr>
                  <w:tcW w:w="1276" w:type="dxa"/>
                  <w:noWrap/>
                </w:tcPr>
                <w:p>
                  <w:pPr>
                    <w:widowControl/>
                    <w:jc w:val="center"/>
                    <w:rPr>
                      <w:rFonts w:cs="宋体"/>
                      <w:kern w:val="0"/>
                      <w:szCs w:val="22"/>
                    </w:rPr>
                  </w:pPr>
                  <w:r>
                    <w:t>0.03</w:t>
                  </w:r>
                </w:p>
              </w:tc>
              <w:tc>
                <w:tcPr>
                  <w:tcW w:w="1308" w:type="dxa"/>
                  <w:noWrap/>
                </w:tcPr>
                <w:p>
                  <w:pPr>
                    <w:widowControl/>
                    <w:jc w:val="center"/>
                    <w:rPr>
                      <w:rFonts w:cs="宋体"/>
                      <w:kern w:val="0"/>
                      <w:szCs w:val="22"/>
                    </w:rPr>
                  </w:pPr>
                  <w:r>
                    <w:t xml:space="preserve">0.00165 </w:t>
                  </w:r>
                </w:p>
              </w:tc>
              <w:tc>
                <w:tcPr>
                  <w:tcW w:w="993" w:type="dxa"/>
                  <w:noWrap/>
                </w:tcPr>
                <w:p>
                  <w:pPr>
                    <w:widowControl/>
                    <w:jc w:val="center"/>
                    <w:rPr>
                      <w:rFonts w:cs="宋体"/>
                      <w:kern w:val="0"/>
                      <w:szCs w:val="22"/>
                    </w:rPr>
                  </w:pPr>
                  <w:r>
                    <w:t>0.66</w:t>
                  </w:r>
                </w:p>
              </w:tc>
              <w:tc>
                <w:tcPr>
                  <w:tcW w:w="1275" w:type="dxa"/>
                  <w:noWrap/>
                </w:tcPr>
                <w:p>
                  <w:pPr>
                    <w:widowControl/>
                    <w:jc w:val="center"/>
                    <w:rPr>
                      <w:rFonts w:cs="宋体"/>
                      <w:kern w:val="0"/>
                      <w:szCs w:val="22"/>
                    </w:rPr>
                  </w:pPr>
                  <w:r>
                    <w:t xml:space="preserve">0.00017 </w:t>
                  </w:r>
                </w:p>
              </w:tc>
              <w:tc>
                <w:tcPr>
                  <w:tcW w:w="1134" w:type="dxa"/>
                  <w:noWrap/>
                </w:tcPr>
                <w:p>
                  <w:pPr>
                    <w:widowControl/>
                    <w:jc w:val="center"/>
                    <w:rPr>
                      <w:rFonts w:cs="宋体"/>
                      <w:kern w:val="0"/>
                      <w:szCs w:val="22"/>
                    </w:rPr>
                  </w:pP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2100</w:t>
                  </w:r>
                </w:p>
              </w:tc>
              <w:tc>
                <w:tcPr>
                  <w:tcW w:w="1275" w:type="dxa"/>
                  <w:noWrap/>
                </w:tcPr>
                <w:p>
                  <w:pPr>
                    <w:widowControl/>
                    <w:jc w:val="center"/>
                    <w:rPr>
                      <w:rFonts w:cs="宋体"/>
                      <w:kern w:val="0"/>
                      <w:szCs w:val="22"/>
                    </w:rPr>
                  </w:pPr>
                  <w:r>
                    <w:t xml:space="preserve">0.00015 </w:t>
                  </w:r>
                </w:p>
              </w:tc>
              <w:tc>
                <w:tcPr>
                  <w:tcW w:w="1276" w:type="dxa"/>
                  <w:noWrap/>
                </w:tcPr>
                <w:p>
                  <w:pPr>
                    <w:widowControl/>
                    <w:jc w:val="center"/>
                    <w:rPr>
                      <w:rFonts w:cs="宋体"/>
                      <w:kern w:val="0"/>
                      <w:szCs w:val="22"/>
                    </w:rPr>
                  </w:pPr>
                  <w:r>
                    <w:t>0.03</w:t>
                  </w:r>
                </w:p>
              </w:tc>
              <w:tc>
                <w:tcPr>
                  <w:tcW w:w="1308" w:type="dxa"/>
                  <w:noWrap/>
                </w:tcPr>
                <w:p>
                  <w:pPr>
                    <w:widowControl/>
                    <w:jc w:val="center"/>
                    <w:rPr>
                      <w:rFonts w:cs="宋体"/>
                      <w:kern w:val="0"/>
                      <w:szCs w:val="22"/>
                    </w:rPr>
                  </w:pPr>
                  <w:r>
                    <w:t xml:space="preserve">0.00156 </w:t>
                  </w:r>
                </w:p>
              </w:tc>
              <w:tc>
                <w:tcPr>
                  <w:tcW w:w="993" w:type="dxa"/>
                  <w:noWrap/>
                </w:tcPr>
                <w:p>
                  <w:pPr>
                    <w:widowControl/>
                    <w:jc w:val="center"/>
                    <w:rPr>
                      <w:rFonts w:cs="宋体"/>
                      <w:kern w:val="0"/>
                      <w:szCs w:val="22"/>
                    </w:rPr>
                  </w:pPr>
                  <w:r>
                    <w:t>0.62</w:t>
                  </w:r>
                </w:p>
              </w:tc>
              <w:tc>
                <w:tcPr>
                  <w:tcW w:w="1275" w:type="dxa"/>
                  <w:noWrap/>
                </w:tcPr>
                <w:p>
                  <w:pPr>
                    <w:widowControl/>
                    <w:jc w:val="center"/>
                    <w:rPr>
                      <w:rFonts w:cs="宋体"/>
                      <w:kern w:val="0"/>
                      <w:szCs w:val="22"/>
                    </w:rPr>
                  </w:pPr>
                  <w:r>
                    <w:t xml:space="preserve">0.00016 </w:t>
                  </w:r>
                </w:p>
              </w:tc>
              <w:tc>
                <w:tcPr>
                  <w:tcW w:w="1134" w:type="dxa"/>
                  <w:noWrap/>
                </w:tcPr>
                <w:p>
                  <w:pPr>
                    <w:widowControl/>
                    <w:jc w:val="center"/>
                    <w:rPr>
                      <w:rFonts w:cs="宋体"/>
                      <w:kern w:val="0"/>
                      <w:szCs w:val="22"/>
                    </w:rPr>
                  </w:pP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2200</w:t>
                  </w:r>
                </w:p>
              </w:tc>
              <w:tc>
                <w:tcPr>
                  <w:tcW w:w="1275" w:type="dxa"/>
                  <w:noWrap/>
                </w:tcPr>
                <w:p>
                  <w:pPr>
                    <w:widowControl/>
                    <w:jc w:val="center"/>
                    <w:rPr>
                      <w:rFonts w:cs="宋体"/>
                      <w:kern w:val="0"/>
                      <w:szCs w:val="22"/>
                    </w:rPr>
                  </w:pPr>
                  <w:r>
                    <w:t xml:space="preserve">0.00014 </w:t>
                  </w:r>
                </w:p>
              </w:tc>
              <w:tc>
                <w:tcPr>
                  <w:tcW w:w="1276" w:type="dxa"/>
                  <w:noWrap/>
                </w:tcPr>
                <w:p>
                  <w:pPr>
                    <w:widowControl/>
                    <w:jc w:val="center"/>
                    <w:rPr>
                      <w:rFonts w:cs="宋体"/>
                      <w:kern w:val="0"/>
                      <w:szCs w:val="22"/>
                    </w:rPr>
                  </w:pPr>
                  <w:r>
                    <w:t>0.03</w:t>
                  </w:r>
                </w:p>
              </w:tc>
              <w:tc>
                <w:tcPr>
                  <w:tcW w:w="1308" w:type="dxa"/>
                  <w:noWrap/>
                </w:tcPr>
                <w:p>
                  <w:pPr>
                    <w:widowControl/>
                    <w:jc w:val="center"/>
                    <w:rPr>
                      <w:rFonts w:cs="宋体"/>
                      <w:kern w:val="0"/>
                      <w:szCs w:val="22"/>
                    </w:rPr>
                  </w:pPr>
                  <w:r>
                    <w:t xml:space="preserve">0.00148 </w:t>
                  </w:r>
                </w:p>
              </w:tc>
              <w:tc>
                <w:tcPr>
                  <w:tcW w:w="993" w:type="dxa"/>
                  <w:noWrap/>
                </w:tcPr>
                <w:p>
                  <w:pPr>
                    <w:widowControl/>
                    <w:jc w:val="center"/>
                    <w:rPr>
                      <w:rFonts w:cs="宋体"/>
                      <w:kern w:val="0"/>
                      <w:szCs w:val="22"/>
                    </w:rPr>
                  </w:pPr>
                  <w:r>
                    <w:t>0.59</w:t>
                  </w:r>
                </w:p>
              </w:tc>
              <w:tc>
                <w:tcPr>
                  <w:tcW w:w="1275" w:type="dxa"/>
                  <w:noWrap/>
                </w:tcPr>
                <w:p>
                  <w:pPr>
                    <w:widowControl/>
                    <w:jc w:val="center"/>
                    <w:rPr>
                      <w:rFonts w:cs="宋体"/>
                      <w:kern w:val="0"/>
                      <w:szCs w:val="22"/>
                    </w:rPr>
                  </w:pPr>
                  <w:r>
                    <w:t xml:space="preserve">0.00016 </w:t>
                  </w:r>
                </w:p>
              </w:tc>
              <w:tc>
                <w:tcPr>
                  <w:tcW w:w="1134" w:type="dxa"/>
                  <w:noWrap/>
                </w:tcPr>
                <w:p>
                  <w:pPr>
                    <w:widowControl/>
                    <w:jc w:val="center"/>
                    <w:rPr>
                      <w:rFonts w:cs="宋体"/>
                      <w:kern w:val="0"/>
                      <w:szCs w:val="22"/>
                    </w:rPr>
                  </w:pP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2300</w:t>
                  </w:r>
                </w:p>
              </w:tc>
              <w:tc>
                <w:tcPr>
                  <w:tcW w:w="1275" w:type="dxa"/>
                  <w:noWrap/>
                </w:tcPr>
                <w:p>
                  <w:pPr>
                    <w:widowControl/>
                    <w:jc w:val="center"/>
                    <w:rPr>
                      <w:rFonts w:cs="宋体"/>
                      <w:kern w:val="0"/>
                      <w:szCs w:val="22"/>
                    </w:rPr>
                  </w:pPr>
                  <w:r>
                    <w:t xml:space="preserve">0.00014 </w:t>
                  </w:r>
                </w:p>
              </w:tc>
              <w:tc>
                <w:tcPr>
                  <w:tcW w:w="1276" w:type="dxa"/>
                  <w:noWrap/>
                </w:tcPr>
                <w:p>
                  <w:pPr>
                    <w:widowControl/>
                    <w:jc w:val="center"/>
                    <w:rPr>
                      <w:rFonts w:cs="宋体"/>
                      <w:kern w:val="0"/>
                      <w:szCs w:val="22"/>
                    </w:rPr>
                  </w:pPr>
                  <w:r>
                    <w:t>0.03</w:t>
                  </w:r>
                </w:p>
              </w:tc>
              <w:tc>
                <w:tcPr>
                  <w:tcW w:w="1308" w:type="dxa"/>
                  <w:noWrap/>
                </w:tcPr>
                <w:p>
                  <w:pPr>
                    <w:widowControl/>
                    <w:jc w:val="center"/>
                    <w:rPr>
                      <w:rFonts w:cs="宋体"/>
                      <w:kern w:val="0"/>
                      <w:szCs w:val="22"/>
                    </w:rPr>
                  </w:pPr>
                  <w:r>
                    <w:t xml:space="preserve">0.00146 </w:t>
                  </w:r>
                </w:p>
              </w:tc>
              <w:tc>
                <w:tcPr>
                  <w:tcW w:w="993" w:type="dxa"/>
                  <w:noWrap/>
                </w:tcPr>
                <w:p>
                  <w:pPr>
                    <w:widowControl/>
                    <w:jc w:val="center"/>
                    <w:rPr>
                      <w:rFonts w:cs="宋体"/>
                      <w:kern w:val="0"/>
                      <w:szCs w:val="22"/>
                    </w:rPr>
                  </w:pPr>
                  <w:r>
                    <w:t>0.58</w:t>
                  </w:r>
                </w:p>
              </w:tc>
              <w:tc>
                <w:tcPr>
                  <w:tcW w:w="1275" w:type="dxa"/>
                  <w:noWrap/>
                </w:tcPr>
                <w:p>
                  <w:pPr>
                    <w:widowControl/>
                    <w:jc w:val="center"/>
                    <w:rPr>
                      <w:rFonts w:cs="宋体"/>
                      <w:kern w:val="0"/>
                      <w:szCs w:val="22"/>
                    </w:rPr>
                  </w:pPr>
                  <w:r>
                    <w:t xml:space="preserve">0.00015 </w:t>
                  </w:r>
                </w:p>
              </w:tc>
              <w:tc>
                <w:tcPr>
                  <w:tcW w:w="1134" w:type="dxa"/>
                  <w:noWrap/>
                </w:tcPr>
                <w:p>
                  <w:pPr>
                    <w:widowControl/>
                    <w:jc w:val="center"/>
                    <w:rPr>
                      <w:rFonts w:cs="宋体"/>
                      <w:kern w:val="0"/>
                      <w:szCs w:val="22"/>
                    </w:rPr>
                  </w:pP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2400</w:t>
                  </w:r>
                </w:p>
              </w:tc>
              <w:tc>
                <w:tcPr>
                  <w:tcW w:w="1275" w:type="dxa"/>
                  <w:noWrap/>
                </w:tcPr>
                <w:p>
                  <w:pPr>
                    <w:widowControl/>
                    <w:jc w:val="center"/>
                    <w:rPr>
                      <w:rFonts w:cs="宋体"/>
                      <w:kern w:val="0"/>
                      <w:szCs w:val="22"/>
                    </w:rPr>
                  </w:pPr>
                  <w:r>
                    <w:t xml:space="preserve">0.00014 </w:t>
                  </w:r>
                </w:p>
              </w:tc>
              <w:tc>
                <w:tcPr>
                  <w:tcW w:w="1276" w:type="dxa"/>
                  <w:noWrap/>
                </w:tcPr>
                <w:p>
                  <w:pPr>
                    <w:widowControl/>
                    <w:jc w:val="center"/>
                    <w:rPr>
                      <w:rFonts w:cs="宋体"/>
                      <w:kern w:val="0"/>
                      <w:szCs w:val="22"/>
                    </w:rPr>
                  </w:pPr>
                  <w:r>
                    <w:t>0.03</w:t>
                  </w:r>
                </w:p>
              </w:tc>
              <w:tc>
                <w:tcPr>
                  <w:tcW w:w="1308" w:type="dxa"/>
                  <w:noWrap/>
                </w:tcPr>
                <w:p>
                  <w:pPr>
                    <w:widowControl/>
                    <w:jc w:val="center"/>
                    <w:rPr>
                      <w:rFonts w:cs="宋体"/>
                      <w:kern w:val="0"/>
                      <w:szCs w:val="22"/>
                    </w:rPr>
                  </w:pPr>
                  <w:r>
                    <w:t xml:space="preserve">0.00146 </w:t>
                  </w:r>
                </w:p>
              </w:tc>
              <w:tc>
                <w:tcPr>
                  <w:tcW w:w="993" w:type="dxa"/>
                  <w:noWrap/>
                </w:tcPr>
                <w:p>
                  <w:pPr>
                    <w:widowControl/>
                    <w:jc w:val="center"/>
                    <w:rPr>
                      <w:rFonts w:cs="宋体"/>
                      <w:kern w:val="0"/>
                      <w:szCs w:val="22"/>
                    </w:rPr>
                  </w:pPr>
                  <w:r>
                    <w:t>0.58</w:t>
                  </w:r>
                </w:p>
              </w:tc>
              <w:tc>
                <w:tcPr>
                  <w:tcW w:w="1275" w:type="dxa"/>
                  <w:noWrap/>
                </w:tcPr>
                <w:p>
                  <w:pPr>
                    <w:widowControl/>
                    <w:jc w:val="center"/>
                    <w:rPr>
                      <w:rFonts w:cs="宋体"/>
                      <w:kern w:val="0"/>
                      <w:szCs w:val="22"/>
                    </w:rPr>
                  </w:pPr>
                  <w:r>
                    <w:t xml:space="preserve">0.00015 </w:t>
                  </w:r>
                </w:p>
              </w:tc>
              <w:tc>
                <w:tcPr>
                  <w:tcW w:w="1134" w:type="dxa"/>
                  <w:noWrap/>
                </w:tcPr>
                <w:p>
                  <w:pPr>
                    <w:widowControl/>
                    <w:jc w:val="center"/>
                    <w:rPr>
                      <w:rFonts w:cs="宋体"/>
                      <w:kern w:val="0"/>
                      <w:szCs w:val="22"/>
                    </w:rPr>
                  </w:pPr>
                  <w: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087" w:type="dxa"/>
                  <w:noWrap/>
                </w:tcPr>
                <w:p>
                  <w:pPr>
                    <w:widowControl/>
                    <w:jc w:val="center"/>
                    <w:rPr>
                      <w:rFonts w:cs="宋体"/>
                      <w:kern w:val="0"/>
                      <w:szCs w:val="22"/>
                    </w:rPr>
                  </w:pPr>
                  <w:r>
                    <w:t>2500</w:t>
                  </w:r>
                </w:p>
              </w:tc>
              <w:tc>
                <w:tcPr>
                  <w:tcW w:w="1275" w:type="dxa"/>
                  <w:noWrap/>
                </w:tcPr>
                <w:p>
                  <w:pPr>
                    <w:widowControl/>
                    <w:jc w:val="center"/>
                    <w:rPr>
                      <w:rFonts w:cs="宋体"/>
                      <w:kern w:val="0"/>
                      <w:szCs w:val="22"/>
                    </w:rPr>
                  </w:pPr>
                  <w:r>
                    <w:t xml:space="preserve">0.00014 </w:t>
                  </w:r>
                </w:p>
              </w:tc>
              <w:tc>
                <w:tcPr>
                  <w:tcW w:w="1276" w:type="dxa"/>
                  <w:noWrap/>
                </w:tcPr>
                <w:p>
                  <w:pPr>
                    <w:widowControl/>
                    <w:jc w:val="center"/>
                    <w:rPr>
                      <w:rFonts w:cs="宋体"/>
                      <w:kern w:val="0"/>
                      <w:szCs w:val="22"/>
                    </w:rPr>
                  </w:pPr>
                  <w:r>
                    <w:t>0.03</w:t>
                  </w:r>
                </w:p>
              </w:tc>
              <w:tc>
                <w:tcPr>
                  <w:tcW w:w="1308" w:type="dxa"/>
                  <w:noWrap/>
                </w:tcPr>
                <w:p>
                  <w:pPr>
                    <w:widowControl/>
                    <w:jc w:val="center"/>
                    <w:rPr>
                      <w:rFonts w:cs="宋体"/>
                      <w:kern w:val="0"/>
                      <w:szCs w:val="22"/>
                    </w:rPr>
                  </w:pPr>
                  <w:r>
                    <w:t xml:space="preserve">0.00146 </w:t>
                  </w:r>
                </w:p>
              </w:tc>
              <w:tc>
                <w:tcPr>
                  <w:tcW w:w="993" w:type="dxa"/>
                  <w:noWrap/>
                </w:tcPr>
                <w:p>
                  <w:pPr>
                    <w:widowControl/>
                    <w:jc w:val="center"/>
                    <w:rPr>
                      <w:rFonts w:cs="宋体"/>
                      <w:kern w:val="0"/>
                      <w:szCs w:val="22"/>
                    </w:rPr>
                  </w:pPr>
                  <w:r>
                    <w:t>0.58</w:t>
                  </w:r>
                </w:p>
              </w:tc>
              <w:tc>
                <w:tcPr>
                  <w:tcW w:w="1275" w:type="dxa"/>
                  <w:noWrap/>
                </w:tcPr>
                <w:p>
                  <w:pPr>
                    <w:widowControl/>
                    <w:jc w:val="center"/>
                    <w:rPr>
                      <w:rFonts w:cs="宋体"/>
                      <w:kern w:val="0"/>
                      <w:szCs w:val="22"/>
                    </w:rPr>
                  </w:pPr>
                  <w:r>
                    <w:t xml:space="preserve">0.00015 </w:t>
                  </w:r>
                </w:p>
              </w:tc>
              <w:tc>
                <w:tcPr>
                  <w:tcW w:w="1134" w:type="dxa"/>
                  <w:noWrap/>
                </w:tcPr>
                <w:p>
                  <w:pPr>
                    <w:widowControl/>
                    <w:jc w:val="center"/>
                    <w:rPr>
                      <w:rFonts w:cs="宋体"/>
                      <w:kern w:val="0"/>
                      <w:szCs w:val="22"/>
                    </w:rPr>
                  </w:pPr>
                  <w:r>
                    <w:t>0.02</w:t>
                  </w:r>
                </w:p>
              </w:tc>
            </w:tr>
          </w:tbl>
          <w:p>
            <w:pPr>
              <w:pStyle w:val="2"/>
              <w:spacing w:line="360" w:lineRule="auto"/>
              <w:ind w:left="0" w:leftChars="0" w:firstLine="480" w:firstLineChars="200"/>
            </w:pPr>
            <w:r>
              <w:rPr>
                <w:kern w:val="0"/>
              </w:rPr>
              <w:t>根据表</w:t>
            </w:r>
            <w:r>
              <w:rPr>
                <w:rFonts w:hint="eastAsia"/>
                <w:kern w:val="0"/>
              </w:rPr>
              <w:t>17预测结果，本项目</w:t>
            </w:r>
            <w:r>
              <w:rPr>
                <w:rFonts w:hint="eastAsia" w:cs="宋体"/>
                <w:kern w:val="0"/>
                <w:szCs w:val="22"/>
              </w:rPr>
              <w:t>NO</w:t>
            </w:r>
            <w:r>
              <w:rPr>
                <w:rFonts w:hint="eastAsia" w:cs="宋体"/>
                <w:kern w:val="0"/>
                <w:szCs w:val="22"/>
                <w:vertAlign w:val="subscript"/>
              </w:rPr>
              <w:t xml:space="preserve">X </w:t>
            </w:r>
            <w:r>
              <w:rPr>
                <w:rFonts w:hint="eastAsia"/>
                <w:kern w:val="0"/>
              </w:rPr>
              <w:t>最大浓度占标率</w:t>
            </w:r>
            <w:r>
              <w:rPr>
                <w:kern w:val="0"/>
                <w:szCs w:val="22"/>
              </w:rPr>
              <w:t>P</w:t>
            </w:r>
            <w:r>
              <w:rPr>
                <w:kern w:val="0"/>
                <w:szCs w:val="22"/>
                <w:vertAlign w:val="subscript"/>
              </w:rPr>
              <w:t>max</w:t>
            </w:r>
            <w:r>
              <w:rPr>
                <w:rFonts w:hint="eastAsia"/>
                <w:kern w:val="0"/>
                <w:szCs w:val="22"/>
              </w:rPr>
              <w:t>=</w:t>
            </w:r>
            <w:r>
              <w:rPr>
                <w:rFonts w:hint="eastAsia" w:cs="宋体"/>
                <w:kern w:val="0"/>
                <w:szCs w:val="22"/>
              </w:rPr>
              <w:t>4.95%，根据表14判定</w:t>
            </w:r>
            <w:r>
              <w:t>本次环境空气影响评价工作等级为</w:t>
            </w:r>
            <w:r>
              <w:rPr>
                <w:rFonts w:hint="eastAsia"/>
              </w:rPr>
              <w:t>二</w:t>
            </w:r>
            <w:r>
              <w:t>级。评价范围</w:t>
            </w:r>
            <w:r>
              <w:rPr>
                <w:rFonts w:hint="eastAsia"/>
              </w:rPr>
              <w:t>为</w:t>
            </w:r>
            <w:r>
              <w:t>以</w:t>
            </w:r>
            <w:r>
              <w:rPr>
                <w:rFonts w:hint="eastAsia"/>
              </w:rPr>
              <w:t>锅炉房</w:t>
            </w:r>
            <w:r>
              <w:t>为中心区域</w:t>
            </w:r>
            <w:r>
              <w:rPr>
                <w:rFonts w:hint="eastAsia"/>
              </w:rPr>
              <w:t>，</w:t>
            </w:r>
            <w:r>
              <w:t>边长</w:t>
            </w:r>
            <w:r>
              <w:rPr>
                <w:rFonts w:hint="eastAsia"/>
              </w:rPr>
              <w:t>5km的矩形区域</w:t>
            </w:r>
            <w:r>
              <w:t>。</w:t>
            </w:r>
          </w:p>
          <w:p>
            <w:pPr>
              <w:pStyle w:val="2"/>
              <w:spacing w:line="360" w:lineRule="auto"/>
              <w:ind w:left="0" w:leftChars="0" w:firstLine="480" w:firstLineChars="200"/>
            </w:pPr>
            <w:r>
              <w:rPr>
                <w:rFonts w:hint="eastAsia"/>
              </w:rPr>
              <w:t>（2）大气环境影响分析</w:t>
            </w:r>
          </w:p>
          <w:p>
            <w:pPr>
              <w:pStyle w:val="2"/>
              <w:spacing w:line="360" w:lineRule="auto"/>
              <w:ind w:left="0" w:leftChars="0" w:firstLine="480" w:firstLineChars="200"/>
            </w:pPr>
            <w:r>
              <w:rPr>
                <w:rFonts w:hint="eastAsia"/>
              </w:rPr>
              <w:t>根据预测结果，本项目锅炉燃烧废气污染物最大落地浓度距离为81m，其中颗粒物最大落地浓度为0.00130mg/m</w:t>
            </w:r>
            <w:r>
              <w:rPr>
                <w:rFonts w:hint="eastAsia"/>
                <w:vertAlign w:val="superscript"/>
              </w:rPr>
              <w:t>3</w:t>
            </w:r>
            <w:r>
              <w:rPr>
                <w:rFonts w:hint="eastAsia"/>
              </w:rPr>
              <w:t>，占标率为0.14%；SO</w:t>
            </w:r>
            <w:r>
              <w:rPr>
                <w:rFonts w:hint="eastAsia"/>
                <w:vertAlign w:val="subscript"/>
              </w:rPr>
              <w:t>2</w:t>
            </w:r>
            <w:r>
              <w:rPr>
                <w:rFonts w:hint="eastAsia"/>
              </w:rPr>
              <w:t>最大落地浓度为0.00119mg/m</w:t>
            </w:r>
            <w:r>
              <w:rPr>
                <w:rFonts w:hint="eastAsia"/>
                <w:vertAlign w:val="superscript"/>
              </w:rPr>
              <w:t>3</w:t>
            </w:r>
            <w:r>
              <w:rPr>
                <w:rFonts w:hint="eastAsia"/>
              </w:rPr>
              <w:t>，占标率为0.24%；NO</w:t>
            </w:r>
            <w:r>
              <w:rPr>
                <w:rFonts w:hint="eastAsia"/>
                <w:vertAlign w:val="subscript"/>
              </w:rPr>
              <w:t>X</w:t>
            </w:r>
            <w:r>
              <w:rPr>
                <w:rFonts w:hint="eastAsia"/>
              </w:rPr>
              <w:t>最大落地浓度为0.01237mg/m</w:t>
            </w:r>
            <w:r>
              <w:rPr>
                <w:rFonts w:hint="eastAsia"/>
                <w:vertAlign w:val="superscript"/>
              </w:rPr>
              <w:t>3</w:t>
            </w:r>
            <w:r>
              <w:rPr>
                <w:rFonts w:hint="eastAsia"/>
              </w:rPr>
              <w:t>，占标率为4.95%。满足《环境空气质量标准》（GB3095—2012）及修改单中的要求。项目产生的大气环境影响可接受。</w:t>
            </w:r>
          </w:p>
          <w:p>
            <w:pPr>
              <w:pStyle w:val="2"/>
              <w:spacing w:line="360" w:lineRule="auto"/>
              <w:ind w:left="0" w:leftChars="0" w:firstLine="480" w:firstLineChars="200"/>
            </w:pPr>
            <w:r>
              <w:rPr>
                <w:rFonts w:hint="eastAsia"/>
              </w:rPr>
              <w:t>（3）烟囱高度合理性分析</w:t>
            </w:r>
          </w:p>
          <w:p>
            <w:pPr>
              <w:pStyle w:val="2"/>
              <w:spacing w:line="360" w:lineRule="auto"/>
              <w:ind w:left="0" w:leftChars="0" w:firstLine="480" w:firstLineChars="200"/>
            </w:pPr>
            <w:r>
              <w:rPr>
                <w:rFonts w:hint="eastAsia"/>
              </w:rPr>
              <w:t>锅炉大气污染物排放标准（GB 13271-2014）规定：“燃油、燃气锅炉烟囱不低于8米；新建锅炉房的烟囱周围半径200m距离内有建筑物时，其烟囱应高出最高建筑物3m以上”。本项目属于煤改气项目，本次不新建锅炉房，排气筒高度为12m，根据预测结果，大气环境影响可接受，故而排气筒高度合理。</w:t>
            </w:r>
          </w:p>
          <w:p>
            <w:pPr>
              <w:pStyle w:val="2"/>
              <w:spacing w:line="360" w:lineRule="auto"/>
              <w:ind w:left="0" w:leftChars="0" w:firstLine="480" w:firstLineChars="200"/>
            </w:pPr>
            <w:r>
              <w:rPr>
                <w:rFonts w:hint="eastAsia"/>
              </w:rPr>
              <w:t>（4）NO</w:t>
            </w:r>
            <w:r>
              <w:rPr>
                <w:rFonts w:hint="eastAsia"/>
                <w:vertAlign w:val="subscript"/>
              </w:rPr>
              <w:t>X</w:t>
            </w:r>
            <w:r>
              <w:rPr>
                <w:rFonts w:hint="eastAsia"/>
              </w:rPr>
              <w:t>达标排放可行性分析</w:t>
            </w:r>
          </w:p>
          <w:p>
            <w:pPr>
              <w:pStyle w:val="2"/>
              <w:spacing w:line="360" w:lineRule="auto"/>
              <w:ind w:left="0" w:leftChars="0" w:firstLine="432" w:firstLineChars="180"/>
              <w:jc w:val="left"/>
            </w:pPr>
            <w:r>
              <w:rPr>
                <w:rFonts w:hint="eastAsia"/>
              </w:rPr>
              <w:t>按生成机理分类，燃烧形成的NO</w:t>
            </w:r>
            <w:r>
              <w:rPr>
                <w:rFonts w:hint="eastAsia"/>
                <w:vertAlign w:val="subscript"/>
              </w:rPr>
              <w:t>X</w:t>
            </w:r>
            <w:r>
              <w:rPr>
                <w:rFonts w:hint="eastAsia"/>
              </w:rPr>
              <w:t>可分为燃料型、热力型和快速型3种，燃料型NO</w:t>
            </w:r>
            <w:r>
              <w:rPr>
                <w:rFonts w:hint="eastAsia"/>
                <w:vertAlign w:val="subscript"/>
              </w:rPr>
              <w:t>X</w:t>
            </w:r>
            <w:r>
              <w:rPr>
                <w:rFonts w:hint="eastAsia"/>
              </w:rPr>
              <w:t>是燃料中所含有的氮元素在燃烧过程中与空气中的氧结合后生成的氮氧化物；热力型NO</w:t>
            </w:r>
            <w:r>
              <w:rPr>
                <w:rFonts w:hint="eastAsia"/>
                <w:vertAlign w:val="subscript"/>
              </w:rPr>
              <w:t>X</w:t>
            </w:r>
            <w:r>
              <w:rPr>
                <w:rFonts w:hint="eastAsia"/>
              </w:rPr>
              <w:t>是指空气中的N</w:t>
            </w:r>
            <w:r>
              <w:rPr>
                <w:rFonts w:hint="eastAsia"/>
                <w:vertAlign w:val="subscript"/>
              </w:rPr>
              <w:t>2</w:t>
            </w:r>
            <w:r>
              <w:rPr>
                <w:rFonts w:hint="eastAsia"/>
              </w:rPr>
              <w:t>和O</w:t>
            </w:r>
            <w:r>
              <w:rPr>
                <w:rFonts w:hint="eastAsia"/>
                <w:vertAlign w:val="subscript"/>
              </w:rPr>
              <w:t>2</w:t>
            </w:r>
            <w:r>
              <w:rPr>
                <w:rFonts w:hint="eastAsia"/>
              </w:rPr>
              <w:t>在高温条件下反应生成NO</w:t>
            </w:r>
            <w:r>
              <w:rPr>
                <w:rFonts w:hint="eastAsia"/>
                <w:vertAlign w:val="subscript"/>
              </w:rPr>
              <w:t>X</w:t>
            </w:r>
            <w:r>
              <w:rPr>
                <w:rFonts w:hint="eastAsia"/>
              </w:rPr>
              <w:t>，温度对热力型NO</w:t>
            </w:r>
            <w:r>
              <w:rPr>
                <w:rFonts w:hint="eastAsia"/>
                <w:vertAlign w:val="subscript"/>
              </w:rPr>
              <w:t>X</w:t>
            </w:r>
            <w:r>
              <w:rPr>
                <w:rFonts w:hint="eastAsia"/>
              </w:rPr>
              <w:t>的生成具有决定性作用，随着温度的升高，热力型NO</w:t>
            </w:r>
            <w:r>
              <w:rPr>
                <w:rFonts w:hint="eastAsia"/>
                <w:vertAlign w:val="subscript"/>
              </w:rPr>
              <w:t>X</w:t>
            </w:r>
            <w:r>
              <w:rPr>
                <w:rFonts w:hint="eastAsia"/>
              </w:rPr>
              <w:t>生成速度迅速增大；快速型NO</w:t>
            </w:r>
            <w:r>
              <w:rPr>
                <w:rFonts w:hint="eastAsia"/>
                <w:vertAlign w:val="subscript"/>
              </w:rPr>
              <w:t>X</w:t>
            </w:r>
            <w:r>
              <w:rPr>
                <w:rFonts w:hint="eastAsia"/>
              </w:rPr>
              <w:t>主要是指燃料中碳氢化合物在燃料浓度较高的区域燃烧时所产生的烃与燃烧空气中的N</w:t>
            </w:r>
            <w:r>
              <w:rPr>
                <w:rFonts w:hint="eastAsia"/>
                <w:vertAlign w:val="subscript"/>
              </w:rPr>
              <w:t>2</w:t>
            </w:r>
            <w:r>
              <w:rPr>
                <w:rFonts w:hint="eastAsia"/>
              </w:rPr>
              <w:t>发生反应，形成的CH和HCN等化合物继续被氧化而生成的NO</w:t>
            </w:r>
            <w:r>
              <w:rPr>
                <w:rFonts w:hint="eastAsia"/>
                <w:vertAlign w:val="subscript"/>
              </w:rPr>
              <w:t>X</w:t>
            </w:r>
            <w:r>
              <w:rPr>
                <w:rFonts w:hint="eastAsia"/>
              </w:rPr>
              <w:t>，快速型NO</w:t>
            </w:r>
            <w:r>
              <w:rPr>
                <w:rFonts w:hint="eastAsia"/>
                <w:vertAlign w:val="subscript"/>
              </w:rPr>
              <w:t>X</w:t>
            </w:r>
            <w:r>
              <w:rPr>
                <w:rFonts w:hint="eastAsia"/>
              </w:rPr>
              <w:t>生成量很少。</w:t>
            </w:r>
          </w:p>
          <w:p>
            <w:pPr>
              <w:pStyle w:val="2"/>
              <w:spacing w:line="360" w:lineRule="auto"/>
              <w:ind w:left="0" w:leftChars="0" w:firstLine="432" w:firstLineChars="180"/>
              <w:jc w:val="left"/>
            </w:pPr>
            <w:r>
              <w:rPr>
                <w:rFonts w:hint="eastAsia"/>
              </w:rPr>
              <w:t>对于燃气锅炉，燃烧废气中NO</w:t>
            </w:r>
            <w:r>
              <w:rPr>
                <w:rFonts w:hint="eastAsia"/>
                <w:vertAlign w:val="subscript"/>
              </w:rPr>
              <w:t>X</w:t>
            </w:r>
            <w:r>
              <w:rPr>
                <w:rFonts w:hint="eastAsia"/>
              </w:rPr>
              <w:t>主要是热力型，因此，炉膛温度、燃料和空气的混合程度是燃烧废气中NO</w:t>
            </w:r>
            <w:r>
              <w:rPr>
                <w:rFonts w:hint="eastAsia"/>
                <w:vertAlign w:val="subscript"/>
              </w:rPr>
              <w:t>X</w:t>
            </w:r>
            <w:r>
              <w:rPr>
                <w:rFonts w:hint="eastAsia"/>
              </w:rPr>
              <w:t>排放浓度的主要影响因素。本项目配套超低氮燃烧器（</w:t>
            </w:r>
            <w:r>
              <w:t>W-SLG4</w:t>
            </w:r>
            <w:r>
              <w:rPr>
                <w:rFonts w:hint="eastAsia"/>
              </w:rPr>
              <w:t>），通过采取降低空气过剩系数、燃烧器内部烟气循环、设置烟气回流系统多级分段配氧、分级火焰错层燃烧等措施，达到均衡燃烧、降低炉膛温度的效果，从而降低燃烧废气中NO</w:t>
            </w:r>
            <w:r>
              <w:rPr>
                <w:rFonts w:hint="eastAsia"/>
                <w:vertAlign w:val="subscript"/>
              </w:rPr>
              <w:t>X</w:t>
            </w:r>
            <w:r>
              <w:rPr>
                <w:rFonts w:hint="eastAsia"/>
              </w:rPr>
              <w:t>排放浓度的目的。</w:t>
            </w:r>
          </w:p>
          <w:p>
            <w:pPr>
              <w:pStyle w:val="2"/>
              <w:spacing w:line="360" w:lineRule="auto"/>
              <w:ind w:left="0" w:leftChars="0" w:firstLine="432" w:firstLineChars="180"/>
            </w:pPr>
            <w:r>
              <w:rPr>
                <w:rFonts w:hint="eastAsia"/>
              </w:rPr>
              <w:t>根据国内采用低氮燃烧器的燃气锅炉实际运行效果可知，低氮燃烧器可大幅度降低燃烧废气中</w:t>
            </w:r>
            <w:r>
              <w:t>NO</w:t>
            </w:r>
            <w:r>
              <w:rPr>
                <w:vertAlign w:val="subscript"/>
              </w:rPr>
              <w:t>X</w:t>
            </w:r>
            <w:r>
              <w:rPr>
                <w:rFonts w:hint="eastAsia"/>
              </w:rPr>
              <w:t>的浓度，使其低于30</w:t>
            </w:r>
            <w:r>
              <w:t>mg</w:t>
            </w:r>
            <w:r>
              <w:rPr>
                <w:rFonts w:hint="eastAsia"/>
              </w:rPr>
              <w:t>/m</w:t>
            </w:r>
            <w:r>
              <w:rPr>
                <w:vertAlign w:val="superscript"/>
              </w:rPr>
              <w:t>3</w:t>
            </w:r>
            <w:r>
              <w:rPr>
                <w:rFonts w:hint="eastAsia"/>
              </w:rPr>
              <w:t>，国内燃气锅炉低氮燃烧实际运行效果见表</w:t>
            </w:r>
            <w:r>
              <w:t>18</w:t>
            </w:r>
            <w:r>
              <w:rPr>
                <w:rFonts w:hint="eastAsia"/>
              </w:rPr>
              <w:t>。本项目采用超低氮燃烧器可以使燃烧烟气中NO</w:t>
            </w:r>
            <w:r>
              <w:rPr>
                <w:rFonts w:hint="eastAsia"/>
                <w:vertAlign w:val="subscript"/>
              </w:rPr>
              <w:t>X</w:t>
            </w:r>
            <w:r>
              <w:rPr>
                <w:rFonts w:hint="eastAsia"/>
              </w:rPr>
              <w:t>排放浓度控制在30mg/m</w:t>
            </w:r>
            <w:r>
              <w:rPr>
                <w:rFonts w:hint="eastAsia"/>
                <w:vertAlign w:val="superscript"/>
              </w:rPr>
              <w:t>3</w:t>
            </w:r>
            <w:r>
              <w:rPr>
                <w:rFonts w:hint="eastAsia"/>
              </w:rPr>
              <w:t>以内。</w:t>
            </w:r>
          </w:p>
          <w:p>
            <w:pPr>
              <w:pStyle w:val="2"/>
              <w:spacing w:line="360" w:lineRule="auto"/>
              <w:ind w:left="0" w:leftChars="0" w:firstLine="434" w:firstLineChars="180"/>
              <w:jc w:val="center"/>
              <w:rPr>
                <w:b/>
              </w:rPr>
            </w:pPr>
            <w:r>
              <w:rPr>
                <w:rFonts w:hint="eastAsia"/>
                <w:b/>
              </w:rPr>
              <w:t>表</w:t>
            </w:r>
            <w:r>
              <w:rPr>
                <w:b/>
              </w:rPr>
              <w:t>18</w:t>
            </w:r>
            <w:r>
              <w:rPr>
                <w:rFonts w:hint="eastAsia"/>
                <w:b/>
              </w:rPr>
              <w:t xml:space="preserve"> 国内部分燃气锅炉低氮燃烧实际运行效果</w:t>
            </w:r>
          </w:p>
          <w:tbl>
            <w:tblPr>
              <w:tblStyle w:val="25"/>
              <w:tblW w:w="874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984"/>
              <w:gridCol w:w="1738"/>
              <w:gridCol w:w="1806"/>
              <w:gridCol w:w="25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序号</w:t>
                  </w:r>
                </w:p>
              </w:tc>
              <w:tc>
                <w:tcPr>
                  <w:tcW w:w="1984"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项目名称</w:t>
                  </w:r>
                </w:p>
              </w:tc>
              <w:tc>
                <w:tcPr>
                  <w:tcW w:w="1738"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锅炉吨位</w:t>
                  </w:r>
                </w:p>
              </w:tc>
              <w:tc>
                <w:tcPr>
                  <w:tcW w:w="1806"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NO</w:t>
                  </w:r>
                  <w:r>
                    <w:rPr>
                      <w:rFonts w:hint="eastAsia"/>
                      <w:sz w:val="21"/>
                      <w:szCs w:val="21"/>
                      <w:vertAlign w:val="subscript"/>
                    </w:rPr>
                    <w:t>X</w:t>
                  </w:r>
                  <w:r>
                    <w:rPr>
                      <w:rFonts w:hint="eastAsia"/>
                      <w:sz w:val="21"/>
                      <w:szCs w:val="21"/>
                    </w:rPr>
                    <w:t>检测结果</w:t>
                  </w:r>
                </w:p>
              </w:tc>
              <w:tc>
                <w:tcPr>
                  <w:tcW w:w="2552"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检测单位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1</w:t>
                  </w:r>
                </w:p>
              </w:tc>
              <w:tc>
                <w:tcPr>
                  <w:tcW w:w="1984"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天津丁字沽锅炉房</w:t>
                  </w:r>
                </w:p>
                <w:p>
                  <w:pPr>
                    <w:pStyle w:val="2"/>
                    <w:spacing w:line="240" w:lineRule="auto"/>
                    <w:ind w:left="0" w:leftChars="0" w:firstLine="0" w:firstLineChars="0"/>
                    <w:jc w:val="center"/>
                    <w:rPr>
                      <w:sz w:val="21"/>
                      <w:szCs w:val="21"/>
                    </w:rPr>
                  </w:pPr>
                  <w:r>
                    <w:rPr>
                      <w:rFonts w:hint="eastAsia"/>
                      <w:sz w:val="21"/>
                      <w:szCs w:val="21"/>
                    </w:rPr>
                    <w:t>3号锅炉</w:t>
                  </w:r>
                </w:p>
              </w:tc>
              <w:tc>
                <w:tcPr>
                  <w:tcW w:w="1738"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5台100吨</w:t>
                  </w:r>
                </w:p>
              </w:tc>
              <w:tc>
                <w:tcPr>
                  <w:tcW w:w="1806" w:type="dxa"/>
                  <w:shd w:val="clear" w:color="auto" w:fill="auto"/>
                  <w:vAlign w:val="center"/>
                </w:tcPr>
                <w:p>
                  <w:pPr>
                    <w:pStyle w:val="2"/>
                    <w:spacing w:line="240" w:lineRule="auto"/>
                    <w:ind w:left="0" w:leftChars="0" w:firstLine="0" w:firstLineChars="0"/>
                    <w:jc w:val="center"/>
                    <w:rPr>
                      <w:sz w:val="21"/>
                      <w:szCs w:val="21"/>
                    </w:rPr>
                  </w:pPr>
                  <w:r>
                    <w:rPr>
                      <w:sz w:val="21"/>
                      <w:szCs w:val="21"/>
                    </w:rPr>
                    <w:t>28.9 mg/m</w:t>
                  </w:r>
                  <w:r>
                    <w:rPr>
                      <w:sz w:val="21"/>
                      <w:szCs w:val="21"/>
                      <w:vertAlign w:val="superscript"/>
                    </w:rPr>
                    <w:t>3</w:t>
                  </w:r>
                </w:p>
              </w:tc>
              <w:tc>
                <w:tcPr>
                  <w:tcW w:w="2552" w:type="dxa"/>
                  <w:shd w:val="clear" w:color="auto" w:fill="auto"/>
                  <w:vAlign w:val="center"/>
                </w:tcPr>
                <w:p>
                  <w:pPr>
                    <w:pStyle w:val="2"/>
                    <w:spacing w:line="240" w:lineRule="auto"/>
                    <w:ind w:left="0" w:leftChars="0" w:firstLine="0" w:firstLineChars="0"/>
                    <w:jc w:val="center"/>
                    <w:rPr>
                      <w:sz w:val="21"/>
                      <w:szCs w:val="21"/>
                    </w:rPr>
                  </w:pPr>
                  <w:r>
                    <w:rPr>
                      <w:rFonts w:ascii="Verdana" w:hAnsi="Verdana"/>
                      <w:sz w:val="21"/>
                      <w:szCs w:val="21"/>
                    </w:rPr>
                    <w:t>北京劳动保护科学研究所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2</w:t>
                  </w:r>
                </w:p>
              </w:tc>
              <w:tc>
                <w:tcPr>
                  <w:tcW w:w="1984"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天津泰达热电公司</w:t>
                  </w:r>
                </w:p>
              </w:tc>
              <w:tc>
                <w:tcPr>
                  <w:tcW w:w="1738"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2台80吨</w:t>
                  </w:r>
                </w:p>
              </w:tc>
              <w:tc>
                <w:tcPr>
                  <w:tcW w:w="1806" w:type="dxa"/>
                  <w:shd w:val="clear" w:color="auto" w:fill="auto"/>
                  <w:vAlign w:val="center"/>
                </w:tcPr>
                <w:p>
                  <w:pPr>
                    <w:pStyle w:val="2"/>
                    <w:spacing w:line="240" w:lineRule="auto"/>
                    <w:ind w:left="0" w:leftChars="0" w:firstLine="0" w:firstLineChars="0"/>
                    <w:jc w:val="center"/>
                    <w:rPr>
                      <w:sz w:val="21"/>
                      <w:szCs w:val="21"/>
                    </w:rPr>
                  </w:pPr>
                  <w:r>
                    <w:rPr>
                      <w:sz w:val="21"/>
                      <w:szCs w:val="21"/>
                    </w:rPr>
                    <w:t>17.9 mg/m</w:t>
                  </w:r>
                  <w:r>
                    <w:rPr>
                      <w:sz w:val="21"/>
                      <w:szCs w:val="21"/>
                      <w:vertAlign w:val="superscript"/>
                    </w:rPr>
                    <w:t>3</w:t>
                  </w:r>
                </w:p>
              </w:tc>
              <w:tc>
                <w:tcPr>
                  <w:tcW w:w="2552" w:type="dxa"/>
                  <w:shd w:val="clear" w:color="auto" w:fill="auto"/>
                  <w:vAlign w:val="center"/>
                </w:tcPr>
                <w:p>
                  <w:pPr>
                    <w:pStyle w:val="2"/>
                    <w:spacing w:line="240" w:lineRule="auto"/>
                    <w:ind w:left="0" w:leftChars="0" w:firstLine="0" w:firstLineChars="0"/>
                    <w:jc w:val="center"/>
                    <w:rPr>
                      <w:sz w:val="21"/>
                      <w:szCs w:val="21"/>
                    </w:rPr>
                  </w:pPr>
                  <w:r>
                    <w:rPr>
                      <w:rFonts w:ascii="Verdana" w:hAnsi="Verdana"/>
                      <w:sz w:val="21"/>
                      <w:szCs w:val="21"/>
                    </w:rPr>
                    <w:t>北京劳动保护科学研究所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3</w:t>
                  </w:r>
                </w:p>
              </w:tc>
              <w:tc>
                <w:tcPr>
                  <w:tcW w:w="1984"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西八热源厂</w:t>
                  </w:r>
                </w:p>
              </w:tc>
              <w:tc>
                <w:tcPr>
                  <w:tcW w:w="1738"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2台65吨，5台40吨</w:t>
                  </w:r>
                </w:p>
              </w:tc>
              <w:tc>
                <w:tcPr>
                  <w:tcW w:w="1806" w:type="dxa"/>
                  <w:shd w:val="clear" w:color="auto" w:fill="auto"/>
                  <w:vAlign w:val="center"/>
                </w:tcPr>
                <w:p>
                  <w:pPr>
                    <w:pStyle w:val="2"/>
                    <w:spacing w:line="240" w:lineRule="auto"/>
                    <w:ind w:left="0" w:leftChars="0" w:firstLine="0" w:firstLineChars="0"/>
                    <w:jc w:val="center"/>
                    <w:rPr>
                      <w:sz w:val="21"/>
                      <w:szCs w:val="21"/>
                    </w:rPr>
                  </w:pPr>
                  <w:r>
                    <w:rPr>
                      <w:sz w:val="21"/>
                      <w:szCs w:val="21"/>
                    </w:rPr>
                    <w:t>12 mg/m</w:t>
                  </w:r>
                  <w:r>
                    <w:rPr>
                      <w:sz w:val="21"/>
                      <w:szCs w:val="21"/>
                      <w:vertAlign w:val="superscript"/>
                    </w:rPr>
                    <w:t>3</w:t>
                  </w:r>
                </w:p>
              </w:tc>
              <w:tc>
                <w:tcPr>
                  <w:tcW w:w="2552"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山东唯真测试分析有限公司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4</w:t>
                  </w:r>
                </w:p>
              </w:tc>
              <w:tc>
                <w:tcPr>
                  <w:tcW w:w="1984" w:type="dxa"/>
                  <w:shd w:val="clear" w:color="auto" w:fill="auto"/>
                  <w:vAlign w:val="center"/>
                </w:tcPr>
                <w:p>
                  <w:pPr>
                    <w:jc w:val="center"/>
                  </w:pPr>
                  <w:r>
                    <w:rPr>
                      <w:rFonts w:hint="eastAsia"/>
                    </w:rPr>
                    <w:t>天津泰达热电公司</w:t>
                  </w:r>
                </w:p>
              </w:tc>
              <w:tc>
                <w:tcPr>
                  <w:tcW w:w="1738" w:type="dxa"/>
                  <w:shd w:val="clear" w:color="auto" w:fill="auto"/>
                  <w:vAlign w:val="center"/>
                </w:tcPr>
                <w:p>
                  <w:pPr>
                    <w:jc w:val="center"/>
                  </w:pPr>
                  <w:r>
                    <w:rPr>
                      <w:rFonts w:hint="eastAsia"/>
                    </w:rPr>
                    <w:t>2台40吨</w:t>
                  </w:r>
                </w:p>
              </w:tc>
              <w:tc>
                <w:tcPr>
                  <w:tcW w:w="1806" w:type="dxa"/>
                  <w:shd w:val="clear" w:color="auto" w:fill="auto"/>
                  <w:vAlign w:val="center"/>
                </w:tcPr>
                <w:p>
                  <w:pPr>
                    <w:jc w:val="center"/>
                  </w:pPr>
                  <w:r>
                    <w:rPr>
                      <w:rFonts w:hint="eastAsia"/>
                    </w:rPr>
                    <w:t>24.7 mg/m</w:t>
                  </w:r>
                  <w:r>
                    <w:rPr>
                      <w:rFonts w:hint="eastAsia"/>
                      <w:vertAlign w:val="superscript"/>
                    </w:rPr>
                    <w:t>3</w:t>
                  </w:r>
                </w:p>
              </w:tc>
              <w:tc>
                <w:tcPr>
                  <w:tcW w:w="2552" w:type="dxa"/>
                  <w:shd w:val="clear" w:color="auto" w:fill="auto"/>
                  <w:vAlign w:val="center"/>
                </w:tcPr>
                <w:p>
                  <w:pPr>
                    <w:jc w:val="center"/>
                  </w:pPr>
                  <w:r>
                    <w:rPr>
                      <w:rFonts w:ascii="Verdana" w:hAnsi="Verdana"/>
                      <w:szCs w:val="21"/>
                    </w:rPr>
                    <w:t>北京劳动保护科学研究所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shd w:val="clear" w:color="auto" w:fill="auto"/>
                  <w:vAlign w:val="center"/>
                </w:tcPr>
                <w:p>
                  <w:pPr>
                    <w:pStyle w:val="2"/>
                    <w:spacing w:line="240" w:lineRule="auto"/>
                    <w:ind w:left="0" w:leftChars="0" w:firstLine="0" w:firstLineChars="0"/>
                    <w:jc w:val="center"/>
                    <w:rPr>
                      <w:sz w:val="21"/>
                      <w:szCs w:val="21"/>
                    </w:rPr>
                  </w:pPr>
                  <w:r>
                    <w:rPr>
                      <w:rFonts w:hint="eastAsia"/>
                      <w:sz w:val="21"/>
                      <w:szCs w:val="21"/>
                    </w:rPr>
                    <w:t>5</w:t>
                  </w:r>
                </w:p>
              </w:tc>
              <w:tc>
                <w:tcPr>
                  <w:tcW w:w="1984" w:type="dxa"/>
                  <w:shd w:val="clear" w:color="auto" w:fill="auto"/>
                  <w:vAlign w:val="center"/>
                </w:tcPr>
                <w:p>
                  <w:pPr>
                    <w:jc w:val="center"/>
                  </w:pPr>
                  <w:r>
                    <w:rPr>
                      <w:rFonts w:hint="eastAsia"/>
                    </w:rPr>
                    <w:t>北京奔驰汽车有限公司</w:t>
                  </w:r>
                </w:p>
              </w:tc>
              <w:tc>
                <w:tcPr>
                  <w:tcW w:w="1738" w:type="dxa"/>
                  <w:shd w:val="clear" w:color="auto" w:fill="auto"/>
                  <w:vAlign w:val="center"/>
                </w:tcPr>
                <w:p>
                  <w:pPr>
                    <w:jc w:val="center"/>
                  </w:pPr>
                  <w:r>
                    <w:rPr>
                      <w:rFonts w:hint="eastAsia"/>
                    </w:rPr>
                    <w:t>6台25吨，2台20吨，2台8吨</w:t>
                  </w:r>
                </w:p>
              </w:tc>
              <w:tc>
                <w:tcPr>
                  <w:tcW w:w="1806" w:type="dxa"/>
                  <w:shd w:val="clear" w:color="auto" w:fill="auto"/>
                  <w:vAlign w:val="center"/>
                </w:tcPr>
                <w:p>
                  <w:pPr>
                    <w:jc w:val="center"/>
                  </w:pPr>
                  <w:r>
                    <w:rPr>
                      <w:rFonts w:hint="eastAsia"/>
                    </w:rPr>
                    <w:t>24 mg/m</w:t>
                  </w:r>
                  <w:r>
                    <w:rPr>
                      <w:rFonts w:hint="eastAsia"/>
                      <w:vertAlign w:val="superscript"/>
                    </w:rPr>
                    <w:t>3</w:t>
                  </w:r>
                </w:p>
              </w:tc>
              <w:tc>
                <w:tcPr>
                  <w:tcW w:w="2552" w:type="dxa"/>
                  <w:shd w:val="clear" w:color="auto" w:fill="auto"/>
                  <w:vAlign w:val="center"/>
                </w:tcPr>
                <w:p>
                  <w:pPr>
                    <w:jc w:val="center"/>
                  </w:pPr>
                  <w:r>
                    <w:rPr>
                      <w:rFonts w:ascii="Verdana" w:hAnsi="Verdana"/>
                      <w:szCs w:val="21"/>
                    </w:rPr>
                    <w:t>北京劳动保护科学研究所</w:t>
                  </w:r>
                </w:p>
              </w:tc>
            </w:tr>
          </w:tbl>
          <w:p>
            <w:pPr>
              <w:tabs>
                <w:tab w:val="left" w:pos="4480"/>
              </w:tabs>
              <w:spacing w:line="360" w:lineRule="auto"/>
              <w:ind w:firstLine="480" w:firstLineChars="200"/>
              <w:rPr>
                <w:sz w:val="24"/>
              </w:rPr>
            </w:pPr>
            <w:r>
              <w:rPr>
                <w:rFonts w:hint="eastAsia"/>
                <w:sz w:val="24"/>
              </w:rPr>
              <w:t>2、水环境影响分析</w:t>
            </w:r>
          </w:p>
          <w:p>
            <w:pPr>
              <w:pStyle w:val="2"/>
              <w:spacing w:line="360" w:lineRule="auto"/>
              <w:ind w:left="0" w:leftChars="0" w:firstLine="432" w:firstLineChars="180"/>
              <w:jc w:val="left"/>
            </w:pPr>
            <w:r>
              <w:rPr>
                <w:rFonts w:hint="eastAsia"/>
              </w:rPr>
              <w:t>本项目锅炉用水循环使用，定期补充，对补充的自来水进行软化时会产生软化废水。软化废水与锅炉排水较清洁，直接排入市政污水管网。</w:t>
            </w:r>
          </w:p>
          <w:p>
            <w:pPr>
              <w:tabs>
                <w:tab w:val="left" w:pos="4480"/>
              </w:tabs>
              <w:spacing w:line="360" w:lineRule="auto"/>
              <w:ind w:firstLine="480" w:firstLineChars="200"/>
              <w:rPr>
                <w:sz w:val="24"/>
              </w:rPr>
            </w:pPr>
            <w:r>
              <w:rPr>
                <w:rFonts w:hint="eastAsia"/>
                <w:sz w:val="24"/>
              </w:rPr>
              <w:t>3、声环境影响分析</w:t>
            </w:r>
          </w:p>
          <w:p>
            <w:pPr>
              <w:pStyle w:val="2"/>
              <w:adjustRightInd w:val="0"/>
              <w:snapToGrid w:val="0"/>
              <w:spacing w:line="360" w:lineRule="auto"/>
              <w:ind w:left="0" w:leftChars="0" w:firstLine="432" w:firstLineChars="180"/>
              <w:jc w:val="left"/>
            </w:pPr>
            <w:r>
              <w:rPr>
                <w:rFonts w:hint="eastAsia"/>
              </w:rPr>
              <w:t>本项目主要噪声源为风机、泵等设备运行时产生的噪声，声级值在85~90dB(A)之间。通过选取低噪声设备，同时采取基础减振、厂房隔声、风机进出口安装软连接等隔声降噪措施后，厂界噪声满足《工业企业厂界环境噪声排放标准》（GB12348-2008）中2类标准要求，不会对周围环境产生不良影响。</w:t>
            </w:r>
          </w:p>
          <w:p>
            <w:pPr>
              <w:pStyle w:val="2"/>
              <w:adjustRightInd w:val="0"/>
              <w:snapToGrid w:val="0"/>
              <w:spacing w:line="360" w:lineRule="auto"/>
              <w:ind w:left="0" w:leftChars="0" w:firstLine="432" w:firstLineChars="180"/>
              <w:jc w:val="left"/>
            </w:pPr>
            <w:r>
              <w:rPr>
                <w:rFonts w:hint="eastAsia"/>
              </w:rPr>
              <w:t>项目输气管道在系统超压时对天然气做放空处理，放空天然气产生的噪声为偶发瞬时噪声，噪声值约为110dB</w:t>
            </w:r>
            <w:r>
              <w:t xml:space="preserve"> </w:t>
            </w:r>
            <w:r>
              <w:rPr>
                <w:rFonts w:hint="eastAsia"/>
              </w:rPr>
              <w:t>(A)，对距离放空管较近范围内的环境保护目标有不同程度的影响，但这种影响是暂时的。为进一步减轻放空噪声的影响，环评要求建设单位在放置放空管处安装消声器，并注意调节气流量，通过气流量的合理控制减少噪声影响。同时，环评要求放空时间安排在昼间（6：00~22：00），应避免在夜间进行放空作业。</w:t>
            </w:r>
          </w:p>
          <w:p>
            <w:pPr>
              <w:tabs>
                <w:tab w:val="left" w:pos="4480"/>
              </w:tabs>
              <w:spacing w:line="360" w:lineRule="auto"/>
              <w:ind w:firstLine="480" w:firstLineChars="200"/>
              <w:rPr>
                <w:sz w:val="24"/>
              </w:rPr>
            </w:pPr>
            <w:r>
              <w:rPr>
                <w:rFonts w:hint="eastAsia"/>
                <w:sz w:val="24"/>
              </w:rPr>
              <w:t>4、固体废物影响分析</w:t>
            </w:r>
          </w:p>
          <w:p>
            <w:pPr>
              <w:pStyle w:val="2"/>
              <w:spacing w:line="360" w:lineRule="auto"/>
              <w:ind w:left="0" w:leftChars="0" w:firstLine="432" w:firstLineChars="180"/>
              <w:jc w:val="left"/>
            </w:pPr>
            <w:r>
              <w:rPr>
                <w:rFonts w:hint="eastAsia"/>
              </w:rPr>
              <w:t>项目运营期产生的固体废物为废离子交换树脂。</w:t>
            </w:r>
            <w:bookmarkStart w:id="32" w:name="_Hlk6159226"/>
            <w:r>
              <w:rPr>
                <w:rFonts w:hint="eastAsia"/>
              </w:rPr>
              <w:t>废离子交换树脂属于危险废物，一般情况下5</w:t>
            </w:r>
            <w:r>
              <w:t>~8</w:t>
            </w:r>
            <w:r>
              <w:rPr>
                <w:rFonts w:hint="eastAsia"/>
              </w:rPr>
              <w:t>年换一次，更换后直接交由有资质的单位回收处理，不在厂内暂存。</w:t>
            </w:r>
            <w:bookmarkEnd w:id="32"/>
          </w:p>
          <w:p>
            <w:pPr>
              <w:adjustRightInd w:val="0"/>
              <w:snapToGrid w:val="0"/>
              <w:spacing w:before="156" w:beforeLines="50" w:line="360" w:lineRule="auto"/>
              <w:rPr>
                <w:b/>
                <w:sz w:val="24"/>
              </w:rPr>
            </w:pPr>
            <w:r>
              <w:rPr>
                <w:rFonts w:hint="eastAsia"/>
                <w:b/>
                <w:sz w:val="24"/>
              </w:rPr>
              <w:t>三、环境风险</w:t>
            </w:r>
            <w:r>
              <w:rPr>
                <w:b/>
                <w:sz w:val="24"/>
              </w:rPr>
              <w:t>分析</w:t>
            </w:r>
          </w:p>
          <w:p>
            <w:pPr>
              <w:pStyle w:val="2"/>
              <w:spacing w:line="360" w:lineRule="auto"/>
              <w:ind w:firstLine="434" w:firstLineChars="180"/>
              <w:jc w:val="left"/>
              <w:rPr>
                <w:b/>
              </w:rPr>
            </w:pPr>
            <w:r>
              <w:rPr>
                <w:rFonts w:hint="eastAsia"/>
                <w:b/>
              </w:rPr>
              <w:t>1、风险识别</w:t>
            </w:r>
          </w:p>
          <w:p>
            <w:pPr>
              <w:pStyle w:val="2"/>
              <w:spacing w:line="360" w:lineRule="auto"/>
              <w:ind w:left="0" w:leftChars="0" w:firstLine="432" w:firstLineChars="180"/>
              <w:jc w:val="left"/>
            </w:pPr>
            <w:r>
              <w:rPr>
                <w:rFonts w:hint="eastAsia"/>
              </w:rPr>
              <w:t>（1）物质危险性识别</w:t>
            </w:r>
          </w:p>
          <w:p>
            <w:pPr>
              <w:pStyle w:val="2"/>
              <w:spacing w:line="360" w:lineRule="auto"/>
              <w:ind w:left="0" w:leftChars="0" w:firstLine="432" w:firstLineChars="180"/>
              <w:jc w:val="left"/>
            </w:pPr>
            <w:r>
              <w:rPr>
                <w:rFonts w:hint="eastAsia"/>
              </w:rPr>
              <w:t>物质危险性识别是对项目所涉及的有毒有害、易燃易爆物质进行危险性识别和综合评价。根据《危险化学品重大危险源辨识》（GB18218-2018），本项目涉及的主要危险物质是天然气。管道天然气的主要成分是甲烷，还有少量乙烷、丁烷、戊烷、二氧化碳、一氧化碳、硫化氢等。天然气的危险特性见表19。</w:t>
            </w:r>
          </w:p>
          <w:p>
            <w:pPr>
              <w:pStyle w:val="2"/>
              <w:spacing w:line="360" w:lineRule="auto"/>
              <w:ind w:left="0" w:leftChars="0" w:firstLine="432" w:firstLineChars="180"/>
              <w:jc w:val="center"/>
              <w:rPr>
                <w:rFonts w:eastAsia="黑体"/>
              </w:rPr>
            </w:pPr>
          </w:p>
          <w:p>
            <w:pPr>
              <w:pStyle w:val="2"/>
              <w:spacing w:line="360" w:lineRule="auto"/>
              <w:ind w:left="0" w:leftChars="0" w:firstLine="432" w:firstLineChars="180"/>
              <w:jc w:val="center"/>
              <w:rPr>
                <w:rFonts w:eastAsia="黑体"/>
              </w:rPr>
            </w:pPr>
          </w:p>
          <w:p>
            <w:pPr>
              <w:pStyle w:val="2"/>
              <w:spacing w:line="360" w:lineRule="auto"/>
              <w:ind w:left="0" w:leftChars="0" w:firstLine="432" w:firstLineChars="180"/>
              <w:jc w:val="center"/>
              <w:rPr>
                <w:rFonts w:eastAsia="黑体"/>
              </w:rPr>
            </w:pPr>
          </w:p>
          <w:p>
            <w:pPr>
              <w:pStyle w:val="2"/>
              <w:spacing w:line="360" w:lineRule="auto"/>
              <w:ind w:left="0" w:leftChars="0" w:firstLine="432" w:firstLineChars="180"/>
              <w:jc w:val="center"/>
              <w:rPr>
                <w:rFonts w:eastAsia="黑体"/>
              </w:rPr>
            </w:pPr>
          </w:p>
          <w:p>
            <w:pPr>
              <w:pStyle w:val="2"/>
              <w:spacing w:line="360" w:lineRule="auto"/>
              <w:ind w:left="0" w:leftChars="0" w:firstLine="432" w:firstLineChars="180"/>
              <w:jc w:val="center"/>
              <w:rPr>
                <w:rFonts w:eastAsia="黑体"/>
              </w:rPr>
            </w:pPr>
          </w:p>
          <w:p>
            <w:pPr>
              <w:pStyle w:val="2"/>
              <w:spacing w:line="360" w:lineRule="auto"/>
              <w:ind w:left="0" w:leftChars="0" w:firstLine="432" w:firstLineChars="180"/>
              <w:jc w:val="center"/>
              <w:rPr>
                <w:rFonts w:eastAsia="黑体"/>
              </w:rPr>
            </w:pPr>
          </w:p>
          <w:p>
            <w:pPr>
              <w:pStyle w:val="2"/>
              <w:spacing w:line="360" w:lineRule="auto"/>
              <w:ind w:left="0" w:leftChars="0" w:firstLine="432" w:firstLineChars="180"/>
              <w:jc w:val="center"/>
              <w:rPr>
                <w:rFonts w:eastAsia="黑体"/>
              </w:rPr>
            </w:pPr>
            <w:r>
              <w:rPr>
                <w:rFonts w:hint="eastAsia" w:eastAsia="黑体"/>
              </w:rPr>
              <w:t>表19  天然气的危险特性表</w:t>
            </w:r>
          </w:p>
          <w:tbl>
            <w:tblPr>
              <w:tblStyle w:val="25"/>
              <w:tblW w:w="90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870"/>
              <w:gridCol w:w="707"/>
              <w:gridCol w:w="1519"/>
              <w:gridCol w:w="599"/>
              <w:gridCol w:w="1648"/>
              <w:gridCol w:w="2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restart"/>
                  <w:vAlign w:val="center"/>
                </w:tcPr>
                <w:p>
                  <w:pPr>
                    <w:contextualSpacing/>
                    <w:jc w:val="center"/>
                    <w:rPr>
                      <w:szCs w:val="21"/>
                    </w:rPr>
                  </w:pPr>
                  <w:r>
                    <w:rPr>
                      <w:szCs w:val="21"/>
                    </w:rPr>
                    <w:t>标识</w:t>
                  </w:r>
                </w:p>
              </w:tc>
              <w:tc>
                <w:tcPr>
                  <w:tcW w:w="1870" w:type="dxa"/>
                  <w:vAlign w:val="center"/>
                </w:tcPr>
                <w:p>
                  <w:pPr>
                    <w:contextualSpacing/>
                    <w:rPr>
                      <w:szCs w:val="21"/>
                    </w:rPr>
                  </w:pPr>
                  <w:r>
                    <w:rPr>
                      <w:szCs w:val="21"/>
                    </w:rPr>
                    <w:t>中文名：甲烷</w:t>
                  </w:r>
                </w:p>
              </w:tc>
              <w:tc>
                <w:tcPr>
                  <w:tcW w:w="2825" w:type="dxa"/>
                  <w:gridSpan w:val="3"/>
                  <w:vAlign w:val="center"/>
                </w:tcPr>
                <w:p>
                  <w:pPr>
                    <w:contextualSpacing/>
                    <w:rPr>
                      <w:szCs w:val="21"/>
                    </w:rPr>
                  </w:pPr>
                  <w:r>
                    <w:rPr>
                      <w:szCs w:val="21"/>
                    </w:rPr>
                    <w:t>英文名：methane；Marsh gas</w:t>
                  </w:r>
                </w:p>
              </w:tc>
              <w:tc>
                <w:tcPr>
                  <w:tcW w:w="1648" w:type="dxa"/>
                  <w:vAlign w:val="center"/>
                </w:tcPr>
                <w:p>
                  <w:pPr>
                    <w:contextualSpacing/>
                    <w:rPr>
                      <w:szCs w:val="21"/>
                    </w:rPr>
                  </w:pPr>
                  <w:r>
                    <w:rPr>
                      <w:szCs w:val="21"/>
                    </w:rPr>
                    <w:t>分子式：CH</w:t>
                  </w:r>
                  <w:r>
                    <w:rPr>
                      <w:szCs w:val="21"/>
                      <w:vertAlign w:val="subscript"/>
                    </w:rPr>
                    <w:t>4</w:t>
                  </w:r>
                </w:p>
              </w:tc>
              <w:tc>
                <w:tcPr>
                  <w:tcW w:w="2005" w:type="dxa"/>
                  <w:vAlign w:val="center"/>
                </w:tcPr>
                <w:p>
                  <w:pPr>
                    <w:contextualSpacing/>
                    <w:rPr>
                      <w:szCs w:val="21"/>
                    </w:rPr>
                  </w:pPr>
                  <w:r>
                    <w:rPr>
                      <w:szCs w:val="21"/>
                    </w:rPr>
                    <w:t>分子量：16.04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2577" w:type="dxa"/>
                  <w:gridSpan w:val="2"/>
                  <w:vAlign w:val="center"/>
                </w:tcPr>
                <w:p>
                  <w:pPr>
                    <w:contextualSpacing/>
                    <w:rPr>
                      <w:szCs w:val="21"/>
                    </w:rPr>
                  </w:pPr>
                  <w:r>
                    <w:rPr>
                      <w:szCs w:val="21"/>
                    </w:rPr>
                    <w:t>危险货物编号：21008</w:t>
                  </w:r>
                </w:p>
              </w:tc>
              <w:tc>
                <w:tcPr>
                  <w:tcW w:w="2118" w:type="dxa"/>
                  <w:gridSpan w:val="2"/>
                  <w:vAlign w:val="center"/>
                </w:tcPr>
                <w:p>
                  <w:pPr>
                    <w:contextualSpacing/>
                    <w:rPr>
                      <w:szCs w:val="21"/>
                    </w:rPr>
                  </w:pPr>
                  <w:r>
                    <w:rPr>
                      <w:szCs w:val="21"/>
                    </w:rPr>
                    <w:t>UN编号：1972</w:t>
                  </w:r>
                </w:p>
              </w:tc>
              <w:tc>
                <w:tcPr>
                  <w:tcW w:w="3653" w:type="dxa"/>
                  <w:gridSpan w:val="2"/>
                  <w:vAlign w:val="center"/>
                </w:tcPr>
                <w:p>
                  <w:pPr>
                    <w:contextualSpacing/>
                    <w:rPr>
                      <w:szCs w:val="21"/>
                    </w:rPr>
                  </w:pPr>
                  <w:r>
                    <w:rPr>
                      <w:szCs w:val="21"/>
                    </w:rPr>
                    <w:t>CAS号：74-82-8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restart"/>
                  <w:vAlign w:val="center"/>
                </w:tcPr>
                <w:p>
                  <w:pPr>
                    <w:contextualSpacing/>
                    <w:jc w:val="center"/>
                    <w:rPr>
                      <w:szCs w:val="21"/>
                    </w:rPr>
                  </w:pPr>
                  <w:r>
                    <w:rPr>
                      <w:szCs w:val="21"/>
                    </w:rPr>
                    <w:t>理化性质</w:t>
                  </w:r>
                </w:p>
              </w:tc>
              <w:tc>
                <w:tcPr>
                  <w:tcW w:w="8348" w:type="dxa"/>
                  <w:gridSpan w:val="6"/>
                  <w:vAlign w:val="center"/>
                </w:tcPr>
                <w:p>
                  <w:pPr>
                    <w:contextualSpacing/>
                    <w:rPr>
                      <w:szCs w:val="21"/>
                    </w:rPr>
                  </w:pPr>
                  <w:r>
                    <w:rPr>
                      <w:szCs w:val="21"/>
                    </w:rPr>
                    <w:t>性状：无色无臭气体，主要成分为含83%～99%甲烷、1%～13%乙烷、0.1%～3%丙烷、0.2%～1.0%丁烷。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1870" w:type="dxa"/>
                  <w:vAlign w:val="center"/>
                </w:tcPr>
                <w:p>
                  <w:pPr>
                    <w:contextualSpacing/>
                    <w:rPr>
                      <w:szCs w:val="21"/>
                    </w:rPr>
                  </w:pPr>
                  <w:r>
                    <w:rPr>
                      <w:szCs w:val="21"/>
                    </w:rPr>
                    <w:t>熔点（℃）：-182.5</w:t>
                  </w:r>
                </w:p>
              </w:tc>
              <w:tc>
                <w:tcPr>
                  <w:tcW w:w="6478" w:type="dxa"/>
                  <w:gridSpan w:val="5"/>
                  <w:vAlign w:val="center"/>
                </w:tcPr>
                <w:p>
                  <w:pPr>
                    <w:contextualSpacing/>
                    <w:rPr>
                      <w:szCs w:val="21"/>
                    </w:rPr>
                  </w:pPr>
                  <w:r>
                    <w:rPr>
                      <w:szCs w:val="21"/>
                    </w:rPr>
                    <w:t>溶解性：微溶于水，溶于醇、乙醚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4096" w:type="dxa"/>
                  <w:gridSpan w:val="3"/>
                  <w:vAlign w:val="center"/>
                </w:tcPr>
                <w:p>
                  <w:pPr>
                    <w:contextualSpacing/>
                    <w:rPr>
                      <w:szCs w:val="21"/>
                    </w:rPr>
                  </w:pPr>
                  <w:r>
                    <w:rPr>
                      <w:szCs w:val="21"/>
                    </w:rPr>
                    <w:t>沸点（℃）：-160～-164</w:t>
                  </w:r>
                </w:p>
              </w:tc>
              <w:tc>
                <w:tcPr>
                  <w:tcW w:w="4252" w:type="dxa"/>
                  <w:gridSpan w:val="3"/>
                  <w:vAlign w:val="center"/>
                </w:tcPr>
                <w:p>
                  <w:pPr>
                    <w:contextualSpacing/>
                    <w:rPr>
                      <w:szCs w:val="21"/>
                    </w:rPr>
                  </w:pPr>
                  <w:r>
                    <w:rPr>
                      <w:szCs w:val="21"/>
                    </w:rPr>
                    <w:t>相对密度（水=1）：0.42（-164℃）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4096" w:type="dxa"/>
                  <w:gridSpan w:val="3"/>
                  <w:vAlign w:val="center"/>
                </w:tcPr>
                <w:p>
                  <w:pPr>
                    <w:contextualSpacing/>
                    <w:rPr>
                      <w:szCs w:val="21"/>
                    </w:rPr>
                  </w:pPr>
                  <w:r>
                    <w:rPr>
                      <w:szCs w:val="21"/>
                    </w:rPr>
                    <w:t>饱和蒸气压（kPa）：53.32（-168.8℃）</w:t>
                  </w:r>
                </w:p>
              </w:tc>
              <w:tc>
                <w:tcPr>
                  <w:tcW w:w="4252" w:type="dxa"/>
                  <w:gridSpan w:val="3"/>
                  <w:vAlign w:val="center"/>
                </w:tcPr>
                <w:p>
                  <w:pPr>
                    <w:contextualSpacing/>
                    <w:rPr>
                      <w:szCs w:val="21"/>
                    </w:rPr>
                  </w:pPr>
                  <w:r>
                    <w:rPr>
                      <w:szCs w:val="21"/>
                    </w:rPr>
                    <w:t>相对密度（空气=1）：0.55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4096" w:type="dxa"/>
                  <w:gridSpan w:val="3"/>
                  <w:vAlign w:val="center"/>
                </w:tcPr>
                <w:p>
                  <w:pPr>
                    <w:contextualSpacing/>
                    <w:rPr>
                      <w:szCs w:val="21"/>
                    </w:rPr>
                  </w:pPr>
                  <w:r>
                    <w:rPr>
                      <w:szCs w:val="21"/>
                    </w:rPr>
                    <w:t>临界温度（℃）：-82.6</w:t>
                  </w:r>
                </w:p>
              </w:tc>
              <w:tc>
                <w:tcPr>
                  <w:tcW w:w="4252" w:type="dxa"/>
                  <w:gridSpan w:val="3"/>
                  <w:vAlign w:val="center"/>
                </w:tcPr>
                <w:p>
                  <w:pPr>
                    <w:contextualSpacing/>
                    <w:rPr>
                      <w:szCs w:val="21"/>
                    </w:rPr>
                  </w:pPr>
                  <w:r>
                    <w:rPr>
                      <w:szCs w:val="21"/>
                    </w:rPr>
                    <w:t>燃烧热（kJ·kg</w:t>
                  </w:r>
                  <w:r>
                    <w:rPr>
                      <w:szCs w:val="21"/>
                      <w:vertAlign w:val="superscript"/>
                    </w:rPr>
                    <w:t>-1</w:t>
                  </w:r>
                  <w:r>
                    <w:rPr>
                      <w:szCs w:val="21"/>
                    </w:rPr>
                    <w:t>）：48624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4096" w:type="dxa"/>
                  <w:gridSpan w:val="3"/>
                  <w:vAlign w:val="center"/>
                </w:tcPr>
                <w:p>
                  <w:pPr>
                    <w:contextualSpacing/>
                    <w:rPr>
                      <w:szCs w:val="21"/>
                    </w:rPr>
                  </w:pPr>
                  <w:r>
                    <w:rPr>
                      <w:szCs w:val="21"/>
                    </w:rPr>
                    <w:t>临界压力（MPa）：4.59</w:t>
                  </w:r>
                </w:p>
              </w:tc>
              <w:tc>
                <w:tcPr>
                  <w:tcW w:w="4252" w:type="dxa"/>
                  <w:gridSpan w:val="3"/>
                  <w:vAlign w:val="center"/>
                </w:tcPr>
                <w:p>
                  <w:pPr>
                    <w:contextualSpacing/>
                    <w:rPr>
                      <w:szCs w:val="21"/>
                    </w:rPr>
                  </w:pPr>
                  <w:r>
                    <w:rPr>
                      <w:szCs w:val="21"/>
                    </w:rPr>
                    <w:t>自燃温度（℃）：无资料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restart"/>
                  <w:vAlign w:val="center"/>
                </w:tcPr>
                <w:p>
                  <w:pPr>
                    <w:contextualSpacing/>
                    <w:jc w:val="center"/>
                    <w:rPr>
                      <w:szCs w:val="21"/>
                    </w:rPr>
                  </w:pPr>
                  <w:r>
                    <w:rPr>
                      <w:szCs w:val="21"/>
                    </w:rPr>
                    <w:t>燃烧爆炸危险性</w:t>
                  </w:r>
                </w:p>
              </w:tc>
              <w:tc>
                <w:tcPr>
                  <w:tcW w:w="4096" w:type="dxa"/>
                  <w:gridSpan w:val="3"/>
                  <w:vAlign w:val="center"/>
                </w:tcPr>
                <w:p>
                  <w:pPr>
                    <w:contextualSpacing/>
                    <w:rPr>
                      <w:szCs w:val="21"/>
                    </w:rPr>
                  </w:pPr>
                  <w:r>
                    <w:rPr>
                      <w:szCs w:val="21"/>
                    </w:rPr>
                    <w:t>燃爆危险：易燃，具窒息性</w:t>
                  </w:r>
                </w:p>
              </w:tc>
              <w:tc>
                <w:tcPr>
                  <w:tcW w:w="4252" w:type="dxa"/>
                  <w:gridSpan w:val="3"/>
                  <w:vAlign w:val="center"/>
                </w:tcPr>
                <w:p>
                  <w:pPr>
                    <w:contextualSpacing/>
                    <w:rPr>
                      <w:szCs w:val="21"/>
                    </w:rPr>
                  </w:pPr>
                  <w:r>
                    <w:rPr>
                      <w:szCs w:val="21"/>
                    </w:rPr>
                    <w:t>燃烧（分解）产物：一氧化碳、二氧化碳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1870" w:type="dxa"/>
                  <w:vAlign w:val="center"/>
                </w:tcPr>
                <w:p>
                  <w:pPr>
                    <w:contextualSpacing/>
                    <w:rPr>
                      <w:szCs w:val="21"/>
                    </w:rPr>
                  </w:pPr>
                  <w:r>
                    <w:rPr>
                      <w:szCs w:val="21"/>
                    </w:rPr>
                    <w:t>闪点（℃）：-188</w:t>
                  </w:r>
                </w:p>
              </w:tc>
              <w:tc>
                <w:tcPr>
                  <w:tcW w:w="2226" w:type="dxa"/>
                  <w:gridSpan w:val="2"/>
                  <w:vAlign w:val="center"/>
                </w:tcPr>
                <w:p>
                  <w:pPr>
                    <w:contextualSpacing/>
                    <w:rPr>
                      <w:szCs w:val="21"/>
                    </w:rPr>
                  </w:pPr>
                  <w:r>
                    <w:rPr>
                      <w:szCs w:val="21"/>
                    </w:rPr>
                    <w:t>火灾危险性分类：甲类</w:t>
                  </w:r>
                </w:p>
              </w:tc>
              <w:tc>
                <w:tcPr>
                  <w:tcW w:w="4252" w:type="dxa"/>
                  <w:gridSpan w:val="3"/>
                  <w:vAlign w:val="center"/>
                </w:tcPr>
                <w:p>
                  <w:pPr>
                    <w:contextualSpacing/>
                    <w:rPr>
                      <w:szCs w:val="21"/>
                    </w:rPr>
                  </w:pPr>
                  <w:r>
                    <w:rPr>
                      <w:szCs w:val="21"/>
                    </w:rPr>
                    <w:t>聚合危害：无资料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4096" w:type="dxa"/>
                  <w:gridSpan w:val="3"/>
                  <w:vAlign w:val="center"/>
                </w:tcPr>
                <w:p>
                  <w:pPr>
                    <w:contextualSpacing/>
                    <w:rPr>
                      <w:szCs w:val="21"/>
                    </w:rPr>
                  </w:pPr>
                  <w:r>
                    <w:rPr>
                      <w:szCs w:val="21"/>
                    </w:rPr>
                    <w:t>爆炸极限（V%）：5.3～15</w:t>
                  </w:r>
                </w:p>
              </w:tc>
              <w:tc>
                <w:tcPr>
                  <w:tcW w:w="4252" w:type="dxa"/>
                  <w:gridSpan w:val="3"/>
                  <w:vAlign w:val="center"/>
                </w:tcPr>
                <w:p>
                  <w:pPr>
                    <w:contextualSpacing/>
                    <w:rPr>
                      <w:szCs w:val="21"/>
                    </w:rPr>
                  </w:pPr>
                  <w:r>
                    <w:rPr>
                      <w:szCs w:val="21"/>
                    </w:rPr>
                    <w:t>稳定性：无资料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4096" w:type="dxa"/>
                  <w:gridSpan w:val="3"/>
                  <w:vAlign w:val="center"/>
                </w:tcPr>
                <w:p>
                  <w:pPr>
                    <w:contextualSpacing/>
                    <w:rPr>
                      <w:szCs w:val="21"/>
                    </w:rPr>
                  </w:pPr>
                  <w:r>
                    <w:rPr>
                      <w:szCs w:val="21"/>
                    </w:rPr>
                    <w:t>引燃温度（℃）：538</w:t>
                  </w:r>
                </w:p>
              </w:tc>
              <w:tc>
                <w:tcPr>
                  <w:tcW w:w="4252" w:type="dxa"/>
                  <w:gridSpan w:val="3"/>
                  <w:vAlign w:val="center"/>
                </w:tcPr>
                <w:p>
                  <w:pPr>
                    <w:contextualSpacing/>
                    <w:rPr>
                      <w:szCs w:val="21"/>
                    </w:rPr>
                  </w:pPr>
                  <w:r>
                    <w:rPr>
                      <w:szCs w:val="21"/>
                    </w:rPr>
                    <w:t>禁忌物：强氧化剂、氟、氯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8348" w:type="dxa"/>
                  <w:gridSpan w:val="6"/>
                  <w:vAlign w:val="center"/>
                </w:tcPr>
                <w:p>
                  <w:pPr>
                    <w:contextualSpacing/>
                    <w:rPr>
                      <w:szCs w:val="21"/>
                    </w:rPr>
                  </w:pPr>
                  <w:r>
                    <w:rPr>
                      <w:szCs w:val="21"/>
                    </w:rPr>
                    <w:t>危险特性：易燃，与空气混合能形成爆炸性混合物，遇热源和明火有燃烧爆炸的危险。与五氧化溴、氯气、次氯酸、三氟化氮、液氧、二氟化氧及其它强氧化剂接触剧烈反应。遇水生成白色冰块，冰块只能在低温下保存，温度升高即迅速蒸发，如急剧扰动能猛烈爆喷。气体属“单纯窒息性”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Merge w:val="continue"/>
                  <w:vAlign w:val="center"/>
                </w:tcPr>
                <w:p>
                  <w:pPr>
                    <w:ind w:firstLine="180"/>
                    <w:contextualSpacing/>
                    <w:jc w:val="center"/>
                    <w:rPr>
                      <w:szCs w:val="21"/>
                    </w:rPr>
                  </w:pPr>
                </w:p>
              </w:tc>
              <w:tc>
                <w:tcPr>
                  <w:tcW w:w="8348" w:type="dxa"/>
                  <w:gridSpan w:val="6"/>
                  <w:vAlign w:val="center"/>
                </w:tcPr>
                <w:p>
                  <w:pPr>
                    <w:contextualSpacing/>
                    <w:rPr>
                      <w:szCs w:val="21"/>
                    </w:rPr>
                  </w:pPr>
                  <w:r>
                    <w:rPr>
                      <w:szCs w:val="21"/>
                    </w:rPr>
                    <w:t>灭火方法：切断气源。若不能切断气源，则不允许熄灭泄漏处的火焰。喷水冷却容器，可能的话将容器从火场移至空旷处。</w:t>
                  </w:r>
                </w:p>
                <w:p>
                  <w:pPr>
                    <w:contextualSpacing/>
                    <w:rPr>
                      <w:szCs w:val="21"/>
                    </w:rPr>
                  </w:pPr>
                  <w:r>
                    <w:rPr>
                      <w:szCs w:val="21"/>
                    </w:rPr>
                    <w:t>灭火剂：雾状水、泡沫、二氧化碳、干粉。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Align w:val="center"/>
                </w:tcPr>
                <w:p>
                  <w:pPr>
                    <w:contextualSpacing/>
                    <w:jc w:val="center"/>
                    <w:rPr>
                      <w:szCs w:val="21"/>
                    </w:rPr>
                  </w:pPr>
                  <w:r>
                    <w:rPr>
                      <w:szCs w:val="21"/>
                    </w:rPr>
                    <w:t>毒性</w:t>
                  </w:r>
                </w:p>
              </w:tc>
              <w:tc>
                <w:tcPr>
                  <w:tcW w:w="8348" w:type="dxa"/>
                  <w:gridSpan w:val="6"/>
                  <w:vAlign w:val="center"/>
                </w:tcPr>
                <w:p>
                  <w:pPr>
                    <w:contextualSpacing/>
                    <w:rPr>
                      <w:szCs w:val="21"/>
                    </w:rPr>
                  </w:pPr>
                  <w:r>
                    <w:rPr>
                      <w:szCs w:val="21"/>
                    </w:rPr>
                    <w:t>接触限值：中国 MAC（mg/m</w:t>
                  </w:r>
                  <w:r>
                    <w:rPr>
                      <w:szCs w:val="21"/>
                      <w:vertAlign w:val="superscript"/>
                    </w:rPr>
                    <w:t>3</w:t>
                  </w:r>
                  <w:r>
                    <w:rPr>
                      <w:szCs w:val="21"/>
                    </w:rPr>
                    <w:t>）：未制定标准；前苏联 MAC（mg/m</w:t>
                  </w:r>
                  <w:r>
                    <w:rPr>
                      <w:szCs w:val="21"/>
                      <w:vertAlign w:val="superscript"/>
                    </w:rPr>
                    <w:t>3</w:t>
                  </w:r>
                  <w:r>
                    <w:rPr>
                      <w:szCs w:val="21"/>
                    </w:rPr>
                    <w:t>）：300；TLVTN：ACGIH 窒息性气体；TLVWN：未制定标准。</w:t>
                  </w:r>
                </w:p>
                <w:p>
                  <w:pPr>
                    <w:contextualSpacing/>
                    <w:rPr>
                      <w:szCs w:val="21"/>
                    </w:rPr>
                  </w:pPr>
                  <w:r>
                    <w:rPr>
                      <w:szCs w:val="21"/>
                    </w:rPr>
                    <w:t>急性毒性：LD50：无资料；LC50：无资料。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Align w:val="center"/>
                </w:tcPr>
                <w:p>
                  <w:pPr>
                    <w:contextualSpacing/>
                    <w:jc w:val="center"/>
                    <w:rPr>
                      <w:szCs w:val="21"/>
                    </w:rPr>
                  </w:pPr>
                  <w:r>
                    <w:rPr>
                      <w:szCs w:val="21"/>
                    </w:rPr>
                    <w:t>健康危害</w:t>
                  </w:r>
                </w:p>
              </w:tc>
              <w:tc>
                <w:tcPr>
                  <w:tcW w:w="8348" w:type="dxa"/>
                  <w:gridSpan w:val="6"/>
                  <w:vAlign w:val="center"/>
                </w:tcPr>
                <w:p>
                  <w:pPr>
                    <w:contextualSpacing/>
                    <w:rPr>
                      <w:szCs w:val="21"/>
                    </w:rPr>
                  </w:pPr>
                  <w:r>
                    <w:rPr>
                      <w:szCs w:val="21"/>
                    </w:rPr>
                    <w:t>侵入途径：吸入、食入、经皮吸收。</w:t>
                  </w:r>
                </w:p>
                <w:p>
                  <w:pPr>
                    <w:contextualSpacing/>
                    <w:rPr>
                      <w:szCs w:val="21"/>
                    </w:rPr>
                  </w:pPr>
                  <w:r>
                    <w:rPr>
                      <w:szCs w:val="21"/>
                    </w:rPr>
                    <w:t>健康危害：甲烷对人基本无毒，但浓度过高时，使空气中氧含量明显降低，使人窒息。当空气中甲烷达25%～30%时，可引起头痛、头晕、乏力、注意力不集中、呼吸和心跳加速、共济失调。若不及时脱离，可致窒息死亡。液化天然气与皮肤接触，可致严重冻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58" w:type="dxa"/>
                  <w:vAlign w:val="center"/>
                </w:tcPr>
                <w:p>
                  <w:pPr>
                    <w:contextualSpacing/>
                    <w:jc w:val="center"/>
                    <w:rPr>
                      <w:szCs w:val="21"/>
                    </w:rPr>
                  </w:pPr>
                  <w:r>
                    <w:rPr>
                      <w:szCs w:val="21"/>
                    </w:rPr>
                    <w:t>急救</w:t>
                  </w:r>
                </w:p>
              </w:tc>
              <w:tc>
                <w:tcPr>
                  <w:tcW w:w="8348" w:type="dxa"/>
                  <w:gridSpan w:val="6"/>
                  <w:vAlign w:val="center"/>
                </w:tcPr>
                <w:p>
                  <w:pPr>
                    <w:contextualSpacing/>
                    <w:rPr>
                      <w:szCs w:val="21"/>
                    </w:rPr>
                  </w:pPr>
                  <w:r>
                    <w:rPr>
                      <w:szCs w:val="21"/>
                    </w:rPr>
                    <w:t>皮肤接触：用大量流动清水冲洗。若有冻伤，就医治疗。</w:t>
                  </w:r>
                </w:p>
                <w:p>
                  <w:pPr>
                    <w:contextualSpacing/>
                    <w:rPr>
                      <w:szCs w:val="21"/>
                    </w:rPr>
                  </w:pPr>
                  <w:r>
                    <w:rPr>
                      <w:szCs w:val="21"/>
                    </w:rPr>
                    <w:t>吸入：迅速脱离现场至空气新鲜处。保持呼吸道通畅。如呼吸困难，给输氧。如呼吸停止，立即进行人工呼吸。就医。</w:t>
                  </w:r>
                </w:p>
              </w:tc>
            </w:tr>
          </w:tbl>
          <w:p>
            <w:pPr>
              <w:pStyle w:val="2"/>
              <w:spacing w:line="360" w:lineRule="auto"/>
              <w:ind w:left="0" w:leftChars="0" w:firstLine="432" w:firstLineChars="180"/>
              <w:jc w:val="left"/>
            </w:pPr>
            <w:r>
              <w:rPr>
                <w:rFonts w:hint="eastAsia"/>
              </w:rPr>
              <w:t>（2）生产设施风险识别</w:t>
            </w:r>
          </w:p>
          <w:p>
            <w:pPr>
              <w:pStyle w:val="2"/>
              <w:spacing w:line="360" w:lineRule="auto"/>
              <w:ind w:left="0" w:leftChars="0" w:firstLine="480" w:firstLineChars="200"/>
              <w:jc w:val="left"/>
            </w:pPr>
            <w:r>
              <w:rPr>
                <w:rFonts w:hint="eastAsia"/>
              </w:rPr>
              <w:t>本项目生产设施风险主要是炉膛爆炸，炉膛爆炸是由于可燃气体漏入并与空气混合形成爆炸性混合物，这种混合物处在爆炸极限范围时一接触到适当的点火源就会发生爆炸。伴随着化学变化，炉内气体压力瞬时剧增，所产生的爆炸力超过结构强度而造成向外爆炸，由于在极短时间内大量能量在有限体积内积聚，造成锅炉炉膛处于非寻常的高压或高温状态，使周围介质发生震动或邻近的物质遭到破坏。</w:t>
            </w:r>
          </w:p>
          <w:p>
            <w:pPr>
              <w:pStyle w:val="2"/>
              <w:spacing w:line="360" w:lineRule="auto"/>
              <w:ind w:left="0" w:leftChars="0" w:firstLine="434" w:firstLineChars="180"/>
              <w:jc w:val="left"/>
              <w:rPr>
                <w:b/>
              </w:rPr>
            </w:pPr>
            <w:r>
              <w:rPr>
                <w:rFonts w:hint="eastAsia"/>
                <w:b/>
              </w:rPr>
              <w:t>2、风险防范措施</w:t>
            </w:r>
          </w:p>
          <w:p>
            <w:pPr>
              <w:pStyle w:val="2"/>
              <w:spacing w:line="360" w:lineRule="auto"/>
              <w:ind w:left="0" w:leftChars="0" w:firstLine="432" w:firstLineChars="180"/>
              <w:jc w:val="left"/>
            </w:pPr>
            <w:r>
              <w:rPr>
                <w:rFonts w:hint="eastAsia"/>
              </w:rPr>
              <w:t>燃气爆炸的危害重大，为了避免燃气爆炸事故的发生，评价提出以下风险防范措施：</w:t>
            </w:r>
          </w:p>
          <w:p>
            <w:pPr>
              <w:pStyle w:val="2"/>
              <w:spacing w:line="360" w:lineRule="auto"/>
              <w:ind w:left="0" w:leftChars="0" w:firstLine="432" w:firstLineChars="180"/>
              <w:jc w:val="left"/>
            </w:pPr>
            <w:r>
              <w:rPr>
                <w:rFonts w:hint="eastAsia"/>
              </w:rPr>
              <w:t>（1）本项目采用</w:t>
            </w:r>
            <w:r>
              <w:rPr>
                <w:szCs w:val="21"/>
              </w:rPr>
              <w:t>WNS4-1.25-Q</w:t>
            </w:r>
            <w:r>
              <w:rPr>
                <w:rFonts w:hint="eastAsia"/>
                <w:szCs w:val="21"/>
              </w:rPr>
              <w:t>燃气锅炉，锅炉的安装、运行、检修、检验等应符合《锅炉安全技术监察》的规定。</w:t>
            </w:r>
          </w:p>
          <w:p>
            <w:pPr>
              <w:pStyle w:val="2"/>
              <w:spacing w:line="360" w:lineRule="auto"/>
              <w:ind w:left="0" w:leftChars="0" w:firstLine="480" w:firstLineChars="200"/>
              <w:jc w:val="left"/>
            </w:pPr>
            <w:r>
              <w:rPr>
                <w:rFonts w:hint="eastAsia"/>
              </w:rPr>
              <w:t>（2）防止燃气锅炉在点火时发生爆炸，必须在点火前检查进气管中的燃气压力，当压力符合要求时，再使用鼓风机吹扫炉膛，清除炉膛内的爆炸性混合物。在点火时应严格遵守先点火、后开气的原则</w:t>
            </w:r>
          </w:p>
          <w:p>
            <w:pPr>
              <w:pStyle w:val="2"/>
              <w:spacing w:line="360" w:lineRule="auto"/>
              <w:ind w:left="0" w:leftChars="0" w:firstLine="480" w:firstLineChars="200"/>
              <w:jc w:val="left"/>
            </w:pPr>
            <w:r>
              <w:rPr>
                <w:rFonts w:hint="eastAsia"/>
              </w:rPr>
              <w:t>（3）燃气锅炉工作时防止脱火、防治回火，要很好的监视燃烧工况，注意调节燃烧气流量，稳定燃烧器压力，使火焰能够稳定的燃烧。平时操作中，注意不能骤冷骤热，以防发生爆裂。</w:t>
            </w:r>
          </w:p>
          <w:p>
            <w:pPr>
              <w:pStyle w:val="2"/>
              <w:spacing w:line="360" w:lineRule="auto"/>
              <w:ind w:left="0" w:leftChars="0" w:firstLine="480" w:firstLineChars="200"/>
              <w:jc w:val="left"/>
            </w:pPr>
            <w:r>
              <w:rPr>
                <w:rFonts w:hint="eastAsia"/>
              </w:rPr>
              <w:t>（4）防止燃气锅炉中严重缺水：要在锅炉运行时定期对水位严密监视，定期上水，经常检查水位指示器是否工作正常，进行排污排垢清洗处理。</w:t>
            </w:r>
          </w:p>
          <w:p>
            <w:pPr>
              <w:pStyle w:val="2"/>
              <w:spacing w:line="360" w:lineRule="auto"/>
              <w:ind w:left="0" w:leftChars="0" w:firstLine="480" w:firstLineChars="200"/>
              <w:jc w:val="left"/>
            </w:pPr>
            <w:r>
              <w:rPr>
                <w:rFonts w:hint="eastAsia"/>
              </w:rPr>
              <w:t>（5）燃气锅炉的定期维护和检修：应经常检查锅炉水位表，压力表，安全阀等安全附件，确保其可靠性；定期对锅炉内部进行检查，查看炉膛是否破裂，输气管路是否完好，保证管路不发生可燃气体泄露。</w:t>
            </w:r>
          </w:p>
          <w:p>
            <w:pPr>
              <w:pStyle w:val="2"/>
              <w:spacing w:line="360" w:lineRule="auto"/>
              <w:ind w:left="0" w:leftChars="0" w:firstLine="480" w:firstLineChars="200"/>
              <w:jc w:val="left"/>
            </w:pPr>
            <w:r>
              <w:rPr>
                <w:rFonts w:hint="eastAsia"/>
              </w:rPr>
              <w:t>（6）燃气锅炉周围环境要求：禁止在锅炉房堆放各种可燃物，也不准在锅炉本体和蒸汽管道上烘烤任何物品。</w:t>
            </w:r>
          </w:p>
          <w:p>
            <w:pPr>
              <w:pStyle w:val="2"/>
              <w:spacing w:line="360" w:lineRule="auto"/>
              <w:ind w:left="0" w:leftChars="0" w:firstLine="480" w:firstLineChars="200"/>
              <w:jc w:val="left"/>
            </w:pPr>
            <w:r>
              <w:rPr>
                <w:rFonts w:hint="eastAsia"/>
              </w:rPr>
              <w:t>（7）其他要求：禁止在锅炉内焚烧废纸、废木材、废油毡等，以防造成烟囱飞火，引燃周围可燃物。锅炉周围不能存在火源，锅炉输气管不能靠近其他加热设备。</w:t>
            </w:r>
          </w:p>
          <w:p>
            <w:pPr>
              <w:pStyle w:val="2"/>
              <w:spacing w:line="360" w:lineRule="auto"/>
              <w:ind w:left="0" w:leftChars="0" w:firstLine="480" w:firstLineChars="200"/>
              <w:jc w:val="left"/>
            </w:pPr>
            <w:r>
              <w:rPr>
                <w:rFonts w:hint="eastAsia"/>
              </w:rPr>
              <w:t>采取以上风险防范措施后，本项目的环境风险可以接受。</w:t>
            </w:r>
          </w:p>
          <w:p>
            <w:pPr>
              <w:adjustRightInd w:val="0"/>
              <w:snapToGrid w:val="0"/>
              <w:spacing w:before="156" w:beforeLines="50" w:line="360" w:lineRule="auto"/>
              <w:rPr>
                <w:b/>
                <w:sz w:val="24"/>
              </w:rPr>
            </w:pPr>
            <w:r>
              <w:rPr>
                <w:rFonts w:hint="eastAsia"/>
                <w:b/>
                <w:sz w:val="24"/>
              </w:rPr>
              <w:t>四、环境管理与监测计划</w:t>
            </w:r>
          </w:p>
          <w:p>
            <w:pPr>
              <w:pStyle w:val="2"/>
              <w:spacing w:line="360" w:lineRule="auto"/>
              <w:ind w:left="0" w:leftChars="0" w:firstLine="432" w:firstLineChars="180"/>
              <w:jc w:val="left"/>
            </w:pPr>
            <w:r>
              <w:rPr>
                <w:rFonts w:hint="eastAsia"/>
              </w:rPr>
              <w:t>1、环境管理</w:t>
            </w:r>
          </w:p>
          <w:p>
            <w:pPr>
              <w:pStyle w:val="91"/>
              <w:ind w:firstLine="480"/>
              <w:rPr>
                <w:rFonts w:hAnsi="Times New Roman" w:cs="宋体"/>
              </w:rPr>
            </w:pPr>
            <w:r>
              <w:rPr>
                <w:rFonts w:hint="eastAsia" w:hAnsi="Times New Roman" w:cs="宋体"/>
              </w:rPr>
              <w:t>本项目建设运营会对其所在区域环境造成一定的影响，因此建设单位应该加强环境管理，设置专门的从事环境管理的机构，配备专职环保人员，负责环境监督管理工作。环境管理是一项长期的管理工作，建设单位应做到以下几点：</w:t>
            </w:r>
          </w:p>
          <w:p>
            <w:pPr>
              <w:pStyle w:val="91"/>
              <w:ind w:firstLine="480"/>
              <w:rPr>
                <w:rFonts w:ascii="Times New Roman" w:hAnsi="Times New Roman"/>
              </w:rPr>
            </w:pPr>
            <w:r>
              <w:rPr>
                <w:rFonts w:ascii="Times New Roman" w:hAnsi="Times New Roman"/>
              </w:rPr>
              <w:t>（1）建立健全环境管理制度，贯彻执行国家和地方有关环境保护政策、法规、标准等；</w:t>
            </w:r>
          </w:p>
          <w:p>
            <w:pPr>
              <w:pStyle w:val="91"/>
              <w:ind w:firstLine="480"/>
              <w:rPr>
                <w:rFonts w:ascii="Times New Roman" w:hAnsi="Times New Roman"/>
              </w:rPr>
            </w:pPr>
            <w:r>
              <w:rPr>
                <w:rFonts w:ascii="Times New Roman" w:hAnsi="Times New Roman"/>
              </w:rPr>
              <w:t>（2）加强环保宣传，提高全体员工的清洁生产意识。加强职业技术培训，提高环境管理人员的技术水平，以适应现代化生产管理的需要；</w:t>
            </w:r>
          </w:p>
          <w:p>
            <w:pPr>
              <w:pStyle w:val="91"/>
              <w:ind w:firstLine="480"/>
              <w:rPr>
                <w:rFonts w:ascii="Times New Roman" w:hAnsi="Times New Roman"/>
              </w:rPr>
            </w:pPr>
            <w:r>
              <w:rPr>
                <w:rFonts w:ascii="Times New Roman" w:hAnsi="Times New Roman"/>
              </w:rPr>
              <w:t>（3）定期维护、保养和检修各项环保处理设施，以保证这些设施的正常运行；</w:t>
            </w:r>
          </w:p>
          <w:p>
            <w:pPr>
              <w:pStyle w:val="2"/>
              <w:spacing w:line="360" w:lineRule="auto"/>
              <w:ind w:left="0" w:leftChars="0" w:firstLine="432" w:firstLineChars="180"/>
              <w:jc w:val="left"/>
            </w:pPr>
            <w:r>
              <w:t>（4）建立公司内部的环境保护机构和环境管理台账</w:t>
            </w:r>
            <w:r>
              <w:rPr>
                <w:rFonts w:hint="eastAsia"/>
              </w:rPr>
              <w:t>、制订与其相适应的管理规章制度及细则；</w:t>
            </w:r>
          </w:p>
          <w:p>
            <w:pPr>
              <w:pStyle w:val="2"/>
              <w:spacing w:line="360" w:lineRule="auto"/>
              <w:ind w:left="0" w:leftChars="0" w:firstLine="432" w:firstLineChars="180"/>
              <w:jc w:val="left"/>
            </w:pPr>
            <w:r>
              <w:rPr>
                <w:rFonts w:hint="eastAsia"/>
              </w:rPr>
              <w:t>2、环境监测计划</w:t>
            </w:r>
          </w:p>
          <w:p>
            <w:pPr>
              <w:pStyle w:val="2"/>
              <w:spacing w:line="360" w:lineRule="auto"/>
              <w:ind w:left="0" w:leftChars="0" w:firstLine="432" w:firstLineChars="180"/>
              <w:jc w:val="left"/>
            </w:pPr>
            <w:r>
              <w:rPr>
                <w:rFonts w:hint="eastAsia"/>
              </w:rPr>
              <w:t>根据《环境影响评价技术导则 大气环境》（HJ2.2-2018）及《排污单位自行监测技术指南 火力发电及锅炉》（HJ 820-2017）。企业需定期对污染源进行监测，运营期污染源监测方案见表20。监测方法参照国家有关技术标准和规范。</w:t>
            </w:r>
          </w:p>
          <w:p>
            <w:pPr>
              <w:spacing w:line="360" w:lineRule="auto"/>
              <w:jc w:val="center"/>
              <w:outlineLvl w:val="4"/>
              <w:rPr>
                <w:rFonts w:eastAsia="黑体"/>
                <w:sz w:val="24"/>
                <w:szCs w:val="21"/>
              </w:rPr>
            </w:pPr>
            <w:r>
              <w:rPr>
                <w:rFonts w:hint="eastAsia" w:eastAsia="黑体"/>
                <w:sz w:val="24"/>
                <w:szCs w:val="21"/>
              </w:rPr>
              <w:t>表20 本项目运行期污染源监测计划</w:t>
            </w:r>
          </w:p>
          <w:tbl>
            <w:tblPr>
              <w:tblStyle w:val="25"/>
              <w:tblW w:w="803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15"/>
              <w:gridCol w:w="1288"/>
              <w:gridCol w:w="1297"/>
              <w:gridCol w:w="1434"/>
              <w:gridCol w:w="32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75" w:hRule="atLeast"/>
                <w:jc w:val="center"/>
              </w:trPr>
              <w:tc>
                <w:tcPr>
                  <w:tcW w:w="715" w:type="dxa"/>
                  <w:shd w:val="clear" w:color="auto" w:fill="FFFFFF"/>
                  <w:tcMar>
                    <w:top w:w="0" w:type="dxa"/>
                    <w:left w:w="57" w:type="dxa"/>
                    <w:bottom w:w="0" w:type="dxa"/>
                    <w:right w:w="57" w:type="dxa"/>
                  </w:tcMar>
                  <w:vAlign w:val="center"/>
                </w:tcPr>
                <w:p>
                  <w:pPr>
                    <w:widowControl/>
                    <w:jc w:val="center"/>
                    <w:rPr>
                      <w:kern w:val="0"/>
                      <w:szCs w:val="22"/>
                    </w:rPr>
                  </w:pPr>
                  <w:r>
                    <w:rPr>
                      <w:rFonts w:hint="eastAsia"/>
                      <w:kern w:val="0"/>
                      <w:szCs w:val="22"/>
                    </w:rPr>
                    <w:t>类别</w:t>
                  </w:r>
                </w:p>
              </w:tc>
              <w:tc>
                <w:tcPr>
                  <w:tcW w:w="1288" w:type="dxa"/>
                  <w:shd w:val="clear" w:color="auto" w:fill="FFFFFF"/>
                  <w:tcMar>
                    <w:top w:w="0" w:type="dxa"/>
                    <w:left w:w="57" w:type="dxa"/>
                    <w:bottom w:w="0" w:type="dxa"/>
                    <w:right w:w="57" w:type="dxa"/>
                  </w:tcMar>
                  <w:vAlign w:val="center"/>
                </w:tcPr>
                <w:p>
                  <w:pPr>
                    <w:widowControl/>
                    <w:jc w:val="center"/>
                    <w:rPr>
                      <w:kern w:val="0"/>
                      <w:szCs w:val="22"/>
                    </w:rPr>
                  </w:pPr>
                  <w:r>
                    <w:rPr>
                      <w:rFonts w:hint="eastAsia"/>
                      <w:kern w:val="0"/>
                      <w:szCs w:val="22"/>
                    </w:rPr>
                    <w:t>监测项目</w:t>
                  </w:r>
                </w:p>
              </w:tc>
              <w:tc>
                <w:tcPr>
                  <w:tcW w:w="1297" w:type="dxa"/>
                  <w:shd w:val="clear" w:color="auto" w:fill="FFFFFF"/>
                  <w:tcMar>
                    <w:top w:w="0" w:type="dxa"/>
                    <w:left w:w="57" w:type="dxa"/>
                    <w:bottom w:w="0" w:type="dxa"/>
                    <w:right w:w="57" w:type="dxa"/>
                  </w:tcMar>
                  <w:vAlign w:val="center"/>
                </w:tcPr>
                <w:p>
                  <w:pPr>
                    <w:widowControl/>
                    <w:jc w:val="center"/>
                    <w:rPr>
                      <w:kern w:val="0"/>
                      <w:szCs w:val="22"/>
                    </w:rPr>
                  </w:pPr>
                  <w:r>
                    <w:rPr>
                      <w:rFonts w:hint="eastAsia"/>
                      <w:kern w:val="0"/>
                      <w:szCs w:val="22"/>
                    </w:rPr>
                    <w:t>监测点位置</w:t>
                  </w:r>
                </w:p>
              </w:tc>
              <w:tc>
                <w:tcPr>
                  <w:tcW w:w="1434" w:type="dxa"/>
                  <w:shd w:val="clear" w:color="auto" w:fill="FFFFFF"/>
                  <w:tcMar>
                    <w:top w:w="0" w:type="dxa"/>
                    <w:left w:w="57" w:type="dxa"/>
                    <w:bottom w:w="0" w:type="dxa"/>
                    <w:right w:w="57" w:type="dxa"/>
                  </w:tcMar>
                  <w:vAlign w:val="center"/>
                </w:tcPr>
                <w:p>
                  <w:pPr>
                    <w:widowControl/>
                    <w:jc w:val="center"/>
                    <w:rPr>
                      <w:kern w:val="0"/>
                      <w:szCs w:val="22"/>
                    </w:rPr>
                  </w:pPr>
                  <w:r>
                    <w:rPr>
                      <w:rFonts w:hint="eastAsia"/>
                      <w:kern w:val="0"/>
                      <w:szCs w:val="22"/>
                    </w:rPr>
                    <w:t>监测频率</w:t>
                  </w:r>
                </w:p>
              </w:tc>
              <w:tc>
                <w:tcPr>
                  <w:tcW w:w="3297" w:type="dxa"/>
                  <w:shd w:val="clear" w:color="auto" w:fill="FFFFFF"/>
                  <w:tcMar>
                    <w:top w:w="0" w:type="dxa"/>
                    <w:left w:w="57" w:type="dxa"/>
                    <w:bottom w:w="0" w:type="dxa"/>
                    <w:right w:w="57" w:type="dxa"/>
                  </w:tcMar>
                  <w:vAlign w:val="center"/>
                </w:tcPr>
                <w:p>
                  <w:pPr>
                    <w:widowControl/>
                    <w:jc w:val="center"/>
                    <w:rPr>
                      <w:kern w:val="0"/>
                      <w:szCs w:val="22"/>
                    </w:rPr>
                  </w:pPr>
                  <w:r>
                    <w:rPr>
                      <w:rFonts w:hint="eastAsia"/>
                      <w:kern w:val="0"/>
                      <w:szCs w:val="22"/>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17" w:hRule="atLeast"/>
                <w:jc w:val="center"/>
              </w:trPr>
              <w:tc>
                <w:tcPr>
                  <w:tcW w:w="715" w:type="dxa"/>
                  <w:vMerge w:val="restart"/>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kern w:val="0"/>
                      <w:szCs w:val="22"/>
                    </w:rPr>
                    <w:t>锅炉烟气</w:t>
                  </w:r>
                </w:p>
              </w:tc>
              <w:tc>
                <w:tcPr>
                  <w:tcW w:w="1288" w:type="dxa"/>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kern w:val="0"/>
                      <w:szCs w:val="22"/>
                    </w:rPr>
                    <w:t>颗粒物</w:t>
                  </w:r>
                </w:p>
              </w:tc>
              <w:tc>
                <w:tcPr>
                  <w:tcW w:w="1297" w:type="dxa"/>
                  <w:vMerge w:val="restart"/>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kern w:val="0"/>
                      <w:szCs w:val="22"/>
                    </w:rPr>
                    <w:t>烟囱排气口</w:t>
                  </w:r>
                </w:p>
              </w:tc>
              <w:tc>
                <w:tcPr>
                  <w:tcW w:w="1434" w:type="dxa"/>
                  <w:vMerge w:val="restart"/>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kern w:val="0"/>
                      <w:szCs w:val="22"/>
                    </w:rPr>
                    <w:t>每年1次</w:t>
                  </w:r>
                </w:p>
              </w:tc>
              <w:tc>
                <w:tcPr>
                  <w:tcW w:w="3297" w:type="dxa"/>
                  <w:vMerge w:val="restart"/>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kern w:val="0"/>
                      <w:szCs w:val="22"/>
                    </w:rPr>
                    <w:t>《锅炉大气污染物排放标准》</w:t>
                  </w:r>
                </w:p>
                <w:p>
                  <w:pPr>
                    <w:widowControl/>
                    <w:adjustRightInd w:val="0"/>
                    <w:snapToGrid w:val="0"/>
                    <w:jc w:val="center"/>
                    <w:rPr>
                      <w:kern w:val="0"/>
                      <w:szCs w:val="22"/>
                    </w:rPr>
                  </w:pPr>
                  <w:r>
                    <w:rPr>
                      <w:rFonts w:hint="eastAsia"/>
                      <w:kern w:val="0"/>
                      <w:szCs w:val="22"/>
                    </w:rPr>
                    <w:t>（DB61/1226-2018）中燃气锅炉大 污染物排放浓度限值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09" w:hRule="atLeast"/>
                <w:jc w:val="center"/>
              </w:trPr>
              <w:tc>
                <w:tcPr>
                  <w:tcW w:w="715" w:type="dxa"/>
                  <w:vMerge w:val="continue"/>
                  <w:shd w:val="clear" w:color="auto" w:fill="FFFFFF"/>
                  <w:tcMar>
                    <w:top w:w="0" w:type="dxa"/>
                    <w:left w:w="57" w:type="dxa"/>
                    <w:bottom w:w="0" w:type="dxa"/>
                    <w:right w:w="57" w:type="dxa"/>
                  </w:tcMar>
                  <w:vAlign w:val="center"/>
                </w:tcPr>
                <w:p>
                  <w:pPr>
                    <w:widowControl/>
                    <w:adjustRightInd w:val="0"/>
                    <w:snapToGrid w:val="0"/>
                    <w:jc w:val="center"/>
                    <w:rPr>
                      <w:kern w:val="0"/>
                      <w:szCs w:val="22"/>
                    </w:rPr>
                  </w:pPr>
                </w:p>
              </w:tc>
              <w:tc>
                <w:tcPr>
                  <w:tcW w:w="1288" w:type="dxa"/>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bCs/>
                      <w:kern w:val="0"/>
                      <w:szCs w:val="22"/>
                    </w:rPr>
                    <w:t>S</w:t>
                  </w:r>
                  <w:r>
                    <w:rPr>
                      <w:bCs/>
                      <w:kern w:val="0"/>
                      <w:szCs w:val="22"/>
                    </w:rPr>
                    <w:t>O</w:t>
                  </w:r>
                  <w:r>
                    <w:rPr>
                      <w:bCs/>
                      <w:kern w:val="0"/>
                      <w:szCs w:val="22"/>
                      <w:vertAlign w:val="subscript"/>
                    </w:rPr>
                    <w:t>2</w:t>
                  </w:r>
                </w:p>
              </w:tc>
              <w:tc>
                <w:tcPr>
                  <w:tcW w:w="1297" w:type="dxa"/>
                  <w:vMerge w:val="continue"/>
                  <w:shd w:val="clear" w:color="auto" w:fill="FFFFFF"/>
                  <w:tcMar>
                    <w:top w:w="0" w:type="dxa"/>
                    <w:left w:w="57" w:type="dxa"/>
                    <w:bottom w:w="0" w:type="dxa"/>
                    <w:right w:w="57" w:type="dxa"/>
                  </w:tcMar>
                  <w:vAlign w:val="center"/>
                </w:tcPr>
                <w:p>
                  <w:pPr>
                    <w:widowControl/>
                    <w:adjustRightInd w:val="0"/>
                    <w:snapToGrid w:val="0"/>
                    <w:jc w:val="center"/>
                    <w:rPr>
                      <w:kern w:val="0"/>
                      <w:szCs w:val="22"/>
                    </w:rPr>
                  </w:pPr>
                </w:p>
              </w:tc>
              <w:tc>
                <w:tcPr>
                  <w:tcW w:w="1434" w:type="dxa"/>
                  <w:vMerge w:val="continue"/>
                  <w:shd w:val="clear" w:color="auto" w:fill="FFFFFF"/>
                  <w:tcMar>
                    <w:top w:w="0" w:type="dxa"/>
                    <w:left w:w="57" w:type="dxa"/>
                    <w:bottom w:w="0" w:type="dxa"/>
                    <w:right w:w="57" w:type="dxa"/>
                  </w:tcMar>
                  <w:vAlign w:val="center"/>
                </w:tcPr>
                <w:p>
                  <w:pPr>
                    <w:widowControl/>
                    <w:adjustRightInd w:val="0"/>
                    <w:snapToGrid w:val="0"/>
                    <w:jc w:val="center"/>
                    <w:rPr>
                      <w:kern w:val="0"/>
                      <w:szCs w:val="22"/>
                    </w:rPr>
                  </w:pPr>
                </w:p>
              </w:tc>
              <w:tc>
                <w:tcPr>
                  <w:tcW w:w="3297" w:type="dxa"/>
                  <w:vMerge w:val="continue"/>
                  <w:shd w:val="clear" w:color="auto" w:fill="FFFFFF"/>
                  <w:tcMar>
                    <w:top w:w="0" w:type="dxa"/>
                    <w:left w:w="57" w:type="dxa"/>
                    <w:bottom w:w="0" w:type="dxa"/>
                    <w:right w:w="57" w:type="dxa"/>
                  </w:tcMar>
                  <w:vAlign w:val="center"/>
                </w:tcPr>
                <w:p>
                  <w:pPr>
                    <w:widowControl/>
                    <w:adjustRightInd w:val="0"/>
                    <w:snapToGrid w:val="0"/>
                    <w:jc w:val="center"/>
                    <w:rPr>
                      <w:bCs/>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15" w:hRule="atLeast"/>
                <w:jc w:val="center"/>
              </w:trPr>
              <w:tc>
                <w:tcPr>
                  <w:tcW w:w="715" w:type="dxa"/>
                  <w:vMerge w:val="continue"/>
                  <w:shd w:val="clear" w:color="auto" w:fill="FFFFFF"/>
                  <w:tcMar>
                    <w:top w:w="0" w:type="dxa"/>
                    <w:left w:w="57" w:type="dxa"/>
                    <w:bottom w:w="0" w:type="dxa"/>
                    <w:right w:w="57" w:type="dxa"/>
                  </w:tcMar>
                  <w:vAlign w:val="center"/>
                </w:tcPr>
                <w:p>
                  <w:pPr>
                    <w:widowControl/>
                    <w:adjustRightInd w:val="0"/>
                    <w:snapToGrid w:val="0"/>
                    <w:jc w:val="center"/>
                    <w:rPr>
                      <w:kern w:val="0"/>
                      <w:szCs w:val="22"/>
                    </w:rPr>
                  </w:pPr>
                </w:p>
              </w:tc>
              <w:tc>
                <w:tcPr>
                  <w:tcW w:w="1288" w:type="dxa"/>
                  <w:shd w:val="clear" w:color="auto" w:fill="FFFFFF"/>
                  <w:tcMar>
                    <w:top w:w="0" w:type="dxa"/>
                    <w:left w:w="57" w:type="dxa"/>
                    <w:bottom w:w="0" w:type="dxa"/>
                    <w:right w:w="57" w:type="dxa"/>
                  </w:tcMar>
                  <w:vAlign w:val="center"/>
                </w:tcPr>
                <w:p>
                  <w:pPr>
                    <w:widowControl/>
                    <w:adjustRightInd w:val="0"/>
                    <w:snapToGrid w:val="0"/>
                    <w:jc w:val="center"/>
                    <w:rPr>
                      <w:bCs/>
                      <w:kern w:val="0"/>
                      <w:szCs w:val="22"/>
                    </w:rPr>
                  </w:pPr>
                  <w:r>
                    <w:rPr>
                      <w:bCs/>
                      <w:kern w:val="0"/>
                      <w:szCs w:val="22"/>
                    </w:rPr>
                    <w:t>NO</w:t>
                  </w:r>
                  <w:r>
                    <w:rPr>
                      <w:bCs/>
                      <w:kern w:val="0"/>
                      <w:szCs w:val="22"/>
                      <w:vertAlign w:val="subscript"/>
                    </w:rPr>
                    <w:t>X</w:t>
                  </w:r>
                </w:p>
              </w:tc>
              <w:tc>
                <w:tcPr>
                  <w:tcW w:w="1297" w:type="dxa"/>
                  <w:vMerge w:val="continue"/>
                  <w:shd w:val="clear" w:color="auto" w:fill="FFFFFF"/>
                  <w:tcMar>
                    <w:top w:w="0" w:type="dxa"/>
                    <w:left w:w="57" w:type="dxa"/>
                    <w:bottom w:w="0" w:type="dxa"/>
                    <w:right w:w="57" w:type="dxa"/>
                  </w:tcMar>
                  <w:vAlign w:val="center"/>
                </w:tcPr>
                <w:p>
                  <w:pPr>
                    <w:widowControl/>
                    <w:adjustRightInd w:val="0"/>
                    <w:snapToGrid w:val="0"/>
                    <w:jc w:val="center"/>
                    <w:rPr>
                      <w:kern w:val="0"/>
                      <w:szCs w:val="22"/>
                    </w:rPr>
                  </w:pPr>
                </w:p>
              </w:tc>
              <w:tc>
                <w:tcPr>
                  <w:tcW w:w="1434" w:type="dxa"/>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kern w:val="0"/>
                      <w:szCs w:val="22"/>
                    </w:rPr>
                    <w:t>每月1次</w:t>
                  </w:r>
                </w:p>
              </w:tc>
              <w:tc>
                <w:tcPr>
                  <w:tcW w:w="3297" w:type="dxa"/>
                  <w:vMerge w:val="continue"/>
                  <w:shd w:val="clear" w:color="auto" w:fill="FFFFFF"/>
                  <w:tcMar>
                    <w:top w:w="0" w:type="dxa"/>
                    <w:left w:w="57" w:type="dxa"/>
                    <w:bottom w:w="0" w:type="dxa"/>
                    <w:right w:w="57" w:type="dxa"/>
                  </w:tcMar>
                  <w:vAlign w:val="center"/>
                </w:tcPr>
                <w:p>
                  <w:pPr>
                    <w:widowControl/>
                    <w:adjustRightInd w:val="0"/>
                    <w:snapToGrid w:val="0"/>
                    <w:jc w:val="center"/>
                    <w:rPr>
                      <w:bCs/>
                      <w:kern w:val="0"/>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715" w:type="dxa"/>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kern w:val="0"/>
                      <w:szCs w:val="22"/>
                    </w:rPr>
                    <w:t>噪声</w:t>
                  </w:r>
                </w:p>
              </w:tc>
              <w:tc>
                <w:tcPr>
                  <w:tcW w:w="1288" w:type="dxa"/>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kern w:val="0"/>
                      <w:szCs w:val="22"/>
                    </w:rPr>
                    <w:t>Leq(A)</w:t>
                  </w:r>
                </w:p>
              </w:tc>
              <w:tc>
                <w:tcPr>
                  <w:tcW w:w="1297" w:type="dxa"/>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kern w:val="0"/>
                      <w:szCs w:val="22"/>
                    </w:rPr>
                    <w:t>厂界四周</w:t>
                  </w:r>
                </w:p>
              </w:tc>
              <w:tc>
                <w:tcPr>
                  <w:tcW w:w="1434" w:type="dxa"/>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kern w:val="0"/>
                      <w:szCs w:val="22"/>
                    </w:rPr>
                    <w:t>每季度</w:t>
                  </w:r>
                  <w:r>
                    <w:rPr>
                      <w:kern w:val="0"/>
                      <w:szCs w:val="22"/>
                    </w:rPr>
                    <w:t>1</w:t>
                  </w:r>
                  <w:r>
                    <w:rPr>
                      <w:rFonts w:hint="eastAsia"/>
                      <w:kern w:val="0"/>
                      <w:szCs w:val="22"/>
                    </w:rPr>
                    <w:t>次昼夜监测</w:t>
                  </w:r>
                </w:p>
              </w:tc>
              <w:tc>
                <w:tcPr>
                  <w:tcW w:w="3297" w:type="dxa"/>
                  <w:shd w:val="clear" w:color="auto" w:fill="FFFFFF"/>
                  <w:tcMar>
                    <w:top w:w="0" w:type="dxa"/>
                    <w:left w:w="57" w:type="dxa"/>
                    <w:bottom w:w="0" w:type="dxa"/>
                    <w:right w:w="57" w:type="dxa"/>
                  </w:tcMar>
                  <w:vAlign w:val="center"/>
                </w:tcPr>
                <w:p>
                  <w:pPr>
                    <w:widowControl/>
                    <w:adjustRightInd w:val="0"/>
                    <w:snapToGrid w:val="0"/>
                    <w:jc w:val="center"/>
                    <w:rPr>
                      <w:kern w:val="0"/>
                      <w:szCs w:val="22"/>
                    </w:rPr>
                  </w:pPr>
                  <w:r>
                    <w:rPr>
                      <w:rFonts w:hint="eastAsia"/>
                      <w:kern w:val="0"/>
                      <w:szCs w:val="22"/>
                    </w:rPr>
                    <w:t>《工业企业厂界环境噪声排放标准》（GB12348-2008)2类标准</w:t>
                  </w:r>
                </w:p>
              </w:tc>
            </w:tr>
          </w:tbl>
          <w:p>
            <w:pPr>
              <w:adjustRightInd w:val="0"/>
              <w:snapToGrid w:val="0"/>
              <w:spacing w:before="156" w:beforeLines="50" w:line="360" w:lineRule="auto"/>
              <w:rPr>
                <w:b/>
                <w:sz w:val="24"/>
              </w:rPr>
            </w:pPr>
            <w:r>
              <w:rPr>
                <w:rFonts w:hint="eastAsia"/>
                <w:b/>
                <w:sz w:val="24"/>
              </w:rPr>
              <w:t>五、竣工验收清单及环保投资估算</w:t>
            </w:r>
          </w:p>
          <w:p>
            <w:pPr>
              <w:pStyle w:val="2"/>
              <w:spacing w:line="360" w:lineRule="auto"/>
              <w:ind w:left="0" w:leftChars="0" w:firstLine="432" w:firstLineChars="180"/>
              <w:jc w:val="left"/>
            </w:pPr>
            <w:r>
              <w:rPr>
                <w:rFonts w:hint="eastAsia"/>
              </w:rPr>
              <w:t>（1）竣工验收清单</w:t>
            </w:r>
          </w:p>
          <w:p>
            <w:pPr>
              <w:pStyle w:val="2"/>
              <w:spacing w:line="360" w:lineRule="auto"/>
              <w:ind w:left="0" w:leftChars="0" w:firstLine="432" w:firstLineChars="180"/>
              <w:jc w:val="left"/>
            </w:pPr>
            <w:r>
              <w:rPr>
                <w:rFonts w:hint="eastAsia"/>
              </w:rPr>
              <w:t>本项目环境保护设施竣工验收清单（建议）见表21。</w:t>
            </w:r>
          </w:p>
          <w:p>
            <w:pPr>
              <w:spacing w:line="360" w:lineRule="auto"/>
              <w:jc w:val="center"/>
              <w:outlineLvl w:val="4"/>
              <w:rPr>
                <w:rFonts w:eastAsia="黑体"/>
                <w:sz w:val="24"/>
                <w:szCs w:val="21"/>
              </w:rPr>
            </w:pPr>
            <w:r>
              <w:rPr>
                <w:rFonts w:hint="eastAsia" w:eastAsia="黑体"/>
                <w:sz w:val="24"/>
                <w:szCs w:val="21"/>
              </w:rPr>
              <w:t>表21</w:t>
            </w:r>
            <w:r>
              <w:rPr>
                <w:rFonts w:eastAsia="黑体"/>
                <w:sz w:val="24"/>
                <w:szCs w:val="21"/>
              </w:rPr>
              <w:t xml:space="preserve"> </w:t>
            </w:r>
            <w:r>
              <w:rPr>
                <w:rFonts w:hint="eastAsia" w:eastAsia="黑体"/>
                <w:sz w:val="24"/>
                <w:szCs w:val="21"/>
              </w:rPr>
              <w:t>环保竣工验收清单（建议）</w:t>
            </w:r>
          </w:p>
          <w:tbl>
            <w:tblPr>
              <w:tblStyle w:val="25"/>
              <w:tblW w:w="891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0"/>
              <w:gridCol w:w="1276"/>
              <w:gridCol w:w="2367"/>
              <w:gridCol w:w="759"/>
              <w:gridCol w:w="38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579" w:hRule="exact"/>
                <w:jc w:val="center"/>
              </w:trPr>
              <w:tc>
                <w:tcPr>
                  <w:tcW w:w="680" w:type="dxa"/>
                  <w:tcBorders>
                    <w:top w:val="single" w:color="auto" w:sz="12" w:space="0"/>
                    <w:left w:val="single" w:color="auto" w:sz="12" w:space="0"/>
                  </w:tcBorders>
                  <w:tcMar>
                    <w:top w:w="0" w:type="dxa"/>
                    <w:left w:w="0" w:type="dxa"/>
                    <w:bottom w:w="0" w:type="dxa"/>
                    <w:right w:w="0" w:type="dxa"/>
                  </w:tcMar>
                  <w:vAlign w:val="center"/>
                </w:tcPr>
                <w:p>
                  <w:pPr>
                    <w:jc w:val="center"/>
                    <w:rPr>
                      <w:bCs/>
                      <w:szCs w:val="21"/>
                    </w:rPr>
                  </w:pPr>
                  <w:r>
                    <w:rPr>
                      <w:rFonts w:hint="eastAsia"/>
                      <w:bCs/>
                      <w:szCs w:val="21"/>
                    </w:rPr>
                    <w:t>类别</w:t>
                  </w:r>
                </w:p>
              </w:tc>
              <w:tc>
                <w:tcPr>
                  <w:tcW w:w="1276" w:type="dxa"/>
                  <w:tcBorders>
                    <w:top w:val="single" w:color="auto" w:sz="12" w:space="0"/>
                  </w:tcBorders>
                  <w:tcMar>
                    <w:top w:w="0" w:type="dxa"/>
                    <w:left w:w="0" w:type="dxa"/>
                    <w:bottom w:w="0" w:type="dxa"/>
                    <w:right w:w="0" w:type="dxa"/>
                  </w:tcMar>
                  <w:vAlign w:val="center"/>
                </w:tcPr>
                <w:p>
                  <w:pPr>
                    <w:jc w:val="center"/>
                    <w:rPr>
                      <w:bCs/>
                      <w:szCs w:val="21"/>
                    </w:rPr>
                  </w:pPr>
                  <w:r>
                    <w:rPr>
                      <w:rFonts w:hint="eastAsia"/>
                      <w:bCs/>
                      <w:szCs w:val="21"/>
                    </w:rPr>
                    <w:t>主要污染源</w:t>
                  </w:r>
                </w:p>
              </w:tc>
              <w:tc>
                <w:tcPr>
                  <w:tcW w:w="2367" w:type="dxa"/>
                  <w:tcBorders>
                    <w:top w:val="single" w:color="auto" w:sz="12" w:space="0"/>
                  </w:tcBorders>
                  <w:tcMar>
                    <w:top w:w="0" w:type="dxa"/>
                    <w:left w:w="0" w:type="dxa"/>
                    <w:bottom w:w="0" w:type="dxa"/>
                    <w:right w:w="0" w:type="dxa"/>
                  </w:tcMar>
                  <w:vAlign w:val="center"/>
                </w:tcPr>
                <w:p>
                  <w:pPr>
                    <w:jc w:val="center"/>
                    <w:rPr>
                      <w:bCs/>
                      <w:szCs w:val="21"/>
                    </w:rPr>
                  </w:pPr>
                  <w:r>
                    <w:rPr>
                      <w:rFonts w:hint="eastAsia"/>
                      <w:bCs/>
                      <w:szCs w:val="21"/>
                    </w:rPr>
                    <w:t>环保措施与设施</w:t>
                  </w:r>
                </w:p>
              </w:tc>
              <w:tc>
                <w:tcPr>
                  <w:tcW w:w="759" w:type="dxa"/>
                  <w:tcBorders>
                    <w:top w:val="single" w:color="auto" w:sz="12" w:space="0"/>
                  </w:tcBorders>
                  <w:tcMar>
                    <w:top w:w="0" w:type="dxa"/>
                    <w:left w:w="0" w:type="dxa"/>
                    <w:bottom w:w="0" w:type="dxa"/>
                    <w:right w:w="0" w:type="dxa"/>
                  </w:tcMar>
                  <w:vAlign w:val="center"/>
                </w:tcPr>
                <w:p>
                  <w:pPr>
                    <w:jc w:val="center"/>
                    <w:rPr>
                      <w:bCs/>
                      <w:szCs w:val="21"/>
                    </w:rPr>
                  </w:pPr>
                  <w:r>
                    <w:rPr>
                      <w:rFonts w:hint="eastAsia"/>
                      <w:bCs/>
                      <w:szCs w:val="21"/>
                    </w:rPr>
                    <w:t>数量</w:t>
                  </w:r>
                </w:p>
              </w:tc>
              <w:tc>
                <w:tcPr>
                  <w:tcW w:w="3828" w:type="dxa"/>
                  <w:tcBorders>
                    <w:top w:val="single" w:color="auto" w:sz="12" w:space="0"/>
                    <w:right w:val="single" w:color="auto" w:sz="12" w:space="0"/>
                  </w:tcBorders>
                  <w:tcMar>
                    <w:top w:w="0" w:type="dxa"/>
                    <w:left w:w="0" w:type="dxa"/>
                    <w:bottom w:w="0" w:type="dxa"/>
                    <w:right w:w="0" w:type="dxa"/>
                  </w:tcMar>
                  <w:vAlign w:val="center"/>
                </w:tcPr>
                <w:p>
                  <w:pPr>
                    <w:jc w:val="center"/>
                    <w:rPr>
                      <w:bCs/>
                      <w:szCs w:val="21"/>
                    </w:rPr>
                  </w:pPr>
                  <w:r>
                    <w:rPr>
                      <w:rFonts w:hint="eastAsia"/>
                      <w:bCs/>
                      <w:szCs w:val="21"/>
                    </w:rPr>
                    <w:t>验收标准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72" w:hRule="atLeast"/>
                <w:jc w:val="center"/>
              </w:trPr>
              <w:tc>
                <w:tcPr>
                  <w:tcW w:w="680" w:type="dxa"/>
                  <w:vMerge w:val="restart"/>
                  <w:tcBorders>
                    <w:left w:val="single" w:color="auto" w:sz="12" w:space="0"/>
                  </w:tcBorders>
                  <w:tcMar>
                    <w:top w:w="0" w:type="dxa"/>
                    <w:left w:w="0" w:type="dxa"/>
                    <w:bottom w:w="0" w:type="dxa"/>
                    <w:right w:w="0" w:type="dxa"/>
                  </w:tcMar>
                  <w:vAlign w:val="center"/>
                </w:tcPr>
                <w:p>
                  <w:pPr>
                    <w:adjustRightInd w:val="0"/>
                    <w:snapToGrid w:val="0"/>
                    <w:jc w:val="center"/>
                    <w:rPr>
                      <w:bCs/>
                      <w:szCs w:val="21"/>
                    </w:rPr>
                  </w:pPr>
                  <w:r>
                    <w:rPr>
                      <w:rFonts w:hint="eastAsia"/>
                      <w:bCs/>
                      <w:szCs w:val="21"/>
                    </w:rPr>
                    <w:t>废气</w:t>
                  </w:r>
                </w:p>
              </w:tc>
              <w:tc>
                <w:tcPr>
                  <w:tcW w:w="1276" w:type="dxa"/>
                  <w:tcMar>
                    <w:top w:w="0" w:type="dxa"/>
                    <w:left w:w="0" w:type="dxa"/>
                    <w:bottom w:w="0" w:type="dxa"/>
                    <w:right w:w="0" w:type="dxa"/>
                  </w:tcMar>
                  <w:vAlign w:val="center"/>
                </w:tcPr>
                <w:p>
                  <w:pPr>
                    <w:adjustRightInd w:val="0"/>
                    <w:snapToGrid w:val="0"/>
                    <w:jc w:val="center"/>
                    <w:rPr>
                      <w:bCs/>
                      <w:szCs w:val="21"/>
                    </w:rPr>
                  </w:pPr>
                  <w:r>
                    <w:rPr>
                      <w:bCs/>
                      <w:szCs w:val="21"/>
                    </w:rPr>
                    <w:t>SO</w:t>
                  </w:r>
                  <w:r>
                    <w:rPr>
                      <w:bCs/>
                      <w:szCs w:val="21"/>
                      <w:vertAlign w:val="subscript"/>
                    </w:rPr>
                    <w:t>2</w:t>
                  </w:r>
                </w:p>
              </w:tc>
              <w:tc>
                <w:tcPr>
                  <w:tcW w:w="2367" w:type="dxa"/>
                  <w:vMerge w:val="restart"/>
                  <w:tcMar>
                    <w:top w:w="0" w:type="dxa"/>
                    <w:left w:w="0" w:type="dxa"/>
                    <w:bottom w:w="0" w:type="dxa"/>
                    <w:right w:w="0" w:type="dxa"/>
                  </w:tcMar>
                  <w:vAlign w:val="center"/>
                </w:tcPr>
                <w:p>
                  <w:pPr>
                    <w:adjustRightInd w:val="0"/>
                    <w:snapToGrid w:val="0"/>
                    <w:jc w:val="center"/>
                    <w:rPr>
                      <w:bCs/>
                      <w:szCs w:val="21"/>
                    </w:rPr>
                  </w:pPr>
                  <w:r>
                    <w:rPr>
                      <w:rFonts w:hint="eastAsia"/>
                      <w:bCs/>
                      <w:szCs w:val="21"/>
                    </w:rPr>
                    <w:t>锅炉燃料使用清洁能源天然气，锅炉加装低氮燃烧器并配套使用烟气再循环系统，锅炉烟气经12m排气筒排放</w:t>
                  </w:r>
                </w:p>
              </w:tc>
              <w:tc>
                <w:tcPr>
                  <w:tcW w:w="759" w:type="dxa"/>
                  <w:vMerge w:val="restart"/>
                  <w:vAlign w:val="center"/>
                </w:tcPr>
                <w:p>
                  <w:pPr>
                    <w:adjustRightInd w:val="0"/>
                    <w:snapToGrid w:val="0"/>
                    <w:jc w:val="center"/>
                    <w:rPr>
                      <w:bCs/>
                      <w:szCs w:val="21"/>
                    </w:rPr>
                  </w:pPr>
                  <w:r>
                    <w:rPr>
                      <w:rFonts w:hint="eastAsia"/>
                      <w:bCs/>
                      <w:szCs w:val="21"/>
                    </w:rPr>
                    <w:t>1套</w:t>
                  </w:r>
                </w:p>
              </w:tc>
              <w:tc>
                <w:tcPr>
                  <w:tcW w:w="3828" w:type="dxa"/>
                  <w:vMerge w:val="restart"/>
                  <w:tcBorders>
                    <w:right w:val="single" w:color="auto" w:sz="12" w:space="0"/>
                  </w:tcBorders>
                  <w:tcMar>
                    <w:top w:w="0" w:type="dxa"/>
                    <w:left w:w="0" w:type="dxa"/>
                    <w:bottom w:w="0" w:type="dxa"/>
                    <w:right w:w="0" w:type="dxa"/>
                  </w:tcMar>
                  <w:vAlign w:val="center"/>
                </w:tcPr>
                <w:p>
                  <w:pPr>
                    <w:jc w:val="center"/>
                    <w:rPr>
                      <w:bCs/>
                      <w:szCs w:val="21"/>
                    </w:rPr>
                  </w:pPr>
                  <w:r>
                    <w:rPr>
                      <w:rFonts w:hint="eastAsia"/>
                      <w:szCs w:val="21"/>
                    </w:rPr>
                    <w:t>《锅炉大气污染物排放标准》（DB61/1226-2018）中燃气锅炉大气污染物排放浓度限值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70" w:hRule="atLeast"/>
                <w:jc w:val="center"/>
              </w:trPr>
              <w:tc>
                <w:tcPr>
                  <w:tcW w:w="680" w:type="dxa"/>
                  <w:vMerge w:val="continue"/>
                  <w:tcBorders>
                    <w:left w:val="single" w:color="auto" w:sz="12" w:space="0"/>
                  </w:tcBorders>
                  <w:tcMar>
                    <w:top w:w="0" w:type="dxa"/>
                    <w:left w:w="0" w:type="dxa"/>
                    <w:bottom w:w="0" w:type="dxa"/>
                    <w:right w:w="0" w:type="dxa"/>
                  </w:tcMar>
                  <w:vAlign w:val="center"/>
                </w:tcPr>
                <w:p>
                  <w:pPr>
                    <w:adjustRightInd w:val="0"/>
                    <w:snapToGrid w:val="0"/>
                    <w:jc w:val="center"/>
                    <w:rPr>
                      <w:bCs/>
                      <w:szCs w:val="21"/>
                    </w:rPr>
                  </w:pPr>
                </w:p>
              </w:tc>
              <w:tc>
                <w:tcPr>
                  <w:tcW w:w="1276" w:type="dxa"/>
                  <w:tcMar>
                    <w:top w:w="0" w:type="dxa"/>
                    <w:left w:w="0" w:type="dxa"/>
                    <w:bottom w:w="0" w:type="dxa"/>
                    <w:right w:w="0" w:type="dxa"/>
                  </w:tcMar>
                  <w:vAlign w:val="center"/>
                </w:tcPr>
                <w:p>
                  <w:pPr>
                    <w:adjustRightInd w:val="0"/>
                    <w:snapToGrid w:val="0"/>
                    <w:jc w:val="center"/>
                    <w:rPr>
                      <w:bCs/>
                      <w:szCs w:val="21"/>
                    </w:rPr>
                  </w:pPr>
                  <w:r>
                    <w:rPr>
                      <w:rFonts w:hint="eastAsia"/>
                      <w:bCs/>
                      <w:szCs w:val="21"/>
                    </w:rPr>
                    <w:t>N</w:t>
                  </w:r>
                  <w:r>
                    <w:rPr>
                      <w:bCs/>
                      <w:szCs w:val="21"/>
                    </w:rPr>
                    <w:t>O</w:t>
                  </w:r>
                  <w:r>
                    <w:rPr>
                      <w:bCs/>
                      <w:szCs w:val="21"/>
                      <w:vertAlign w:val="subscript"/>
                    </w:rPr>
                    <w:t>X</w:t>
                  </w:r>
                </w:p>
              </w:tc>
              <w:tc>
                <w:tcPr>
                  <w:tcW w:w="2367" w:type="dxa"/>
                  <w:vMerge w:val="continue"/>
                  <w:tcMar>
                    <w:top w:w="0" w:type="dxa"/>
                    <w:left w:w="0" w:type="dxa"/>
                    <w:bottom w:w="0" w:type="dxa"/>
                    <w:right w:w="0" w:type="dxa"/>
                  </w:tcMar>
                  <w:vAlign w:val="center"/>
                </w:tcPr>
                <w:p>
                  <w:pPr>
                    <w:adjustRightInd w:val="0"/>
                    <w:snapToGrid w:val="0"/>
                    <w:jc w:val="center"/>
                    <w:rPr>
                      <w:bCs/>
                      <w:szCs w:val="21"/>
                    </w:rPr>
                  </w:pPr>
                </w:p>
              </w:tc>
              <w:tc>
                <w:tcPr>
                  <w:tcW w:w="759" w:type="dxa"/>
                  <w:vMerge w:val="continue"/>
                  <w:vAlign w:val="center"/>
                </w:tcPr>
                <w:p>
                  <w:pPr>
                    <w:adjustRightInd w:val="0"/>
                    <w:snapToGrid w:val="0"/>
                    <w:jc w:val="center"/>
                    <w:rPr>
                      <w:bCs/>
                      <w:szCs w:val="21"/>
                    </w:rPr>
                  </w:pPr>
                </w:p>
              </w:tc>
              <w:tc>
                <w:tcPr>
                  <w:tcW w:w="3828" w:type="dxa"/>
                  <w:vMerge w:val="continue"/>
                  <w:tcBorders>
                    <w:right w:val="single" w:color="auto" w:sz="12" w:space="0"/>
                  </w:tcBorders>
                  <w:tcMar>
                    <w:top w:w="0" w:type="dxa"/>
                    <w:left w:w="0" w:type="dxa"/>
                    <w:bottom w:w="0" w:type="dxa"/>
                    <w:right w:w="0" w:type="dxa"/>
                  </w:tcMar>
                  <w:vAlign w:val="center"/>
                </w:tcPr>
                <w:p>
                  <w:pPr>
                    <w:jc w:val="cente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370" w:hRule="atLeast"/>
                <w:jc w:val="center"/>
              </w:trPr>
              <w:tc>
                <w:tcPr>
                  <w:tcW w:w="680" w:type="dxa"/>
                  <w:vMerge w:val="continue"/>
                  <w:tcBorders>
                    <w:left w:val="single" w:color="auto" w:sz="12" w:space="0"/>
                  </w:tcBorders>
                  <w:tcMar>
                    <w:top w:w="0" w:type="dxa"/>
                    <w:left w:w="0" w:type="dxa"/>
                    <w:bottom w:w="0" w:type="dxa"/>
                    <w:right w:w="0" w:type="dxa"/>
                  </w:tcMar>
                  <w:vAlign w:val="center"/>
                </w:tcPr>
                <w:p>
                  <w:pPr>
                    <w:adjustRightInd w:val="0"/>
                    <w:snapToGrid w:val="0"/>
                    <w:jc w:val="center"/>
                    <w:rPr>
                      <w:bCs/>
                      <w:szCs w:val="21"/>
                    </w:rPr>
                  </w:pPr>
                </w:p>
              </w:tc>
              <w:tc>
                <w:tcPr>
                  <w:tcW w:w="1276" w:type="dxa"/>
                  <w:tcMar>
                    <w:top w:w="0" w:type="dxa"/>
                    <w:left w:w="0" w:type="dxa"/>
                    <w:bottom w:w="0" w:type="dxa"/>
                    <w:right w:w="0" w:type="dxa"/>
                  </w:tcMar>
                  <w:vAlign w:val="center"/>
                </w:tcPr>
                <w:p>
                  <w:pPr>
                    <w:adjustRightInd w:val="0"/>
                    <w:snapToGrid w:val="0"/>
                    <w:jc w:val="center"/>
                    <w:rPr>
                      <w:bCs/>
                      <w:szCs w:val="21"/>
                    </w:rPr>
                  </w:pPr>
                  <w:r>
                    <w:rPr>
                      <w:rFonts w:hint="eastAsia"/>
                      <w:bCs/>
                      <w:szCs w:val="21"/>
                    </w:rPr>
                    <w:t>烟尘</w:t>
                  </w:r>
                </w:p>
              </w:tc>
              <w:tc>
                <w:tcPr>
                  <w:tcW w:w="2367" w:type="dxa"/>
                  <w:vMerge w:val="continue"/>
                  <w:tcMar>
                    <w:top w:w="0" w:type="dxa"/>
                    <w:left w:w="0" w:type="dxa"/>
                    <w:bottom w:w="0" w:type="dxa"/>
                    <w:right w:w="0" w:type="dxa"/>
                  </w:tcMar>
                  <w:vAlign w:val="center"/>
                </w:tcPr>
                <w:p>
                  <w:pPr>
                    <w:adjustRightInd w:val="0"/>
                    <w:snapToGrid w:val="0"/>
                    <w:jc w:val="center"/>
                    <w:rPr>
                      <w:bCs/>
                      <w:szCs w:val="21"/>
                    </w:rPr>
                  </w:pPr>
                </w:p>
              </w:tc>
              <w:tc>
                <w:tcPr>
                  <w:tcW w:w="759" w:type="dxa"/>
                  <w:vMerge w:val="continue"/>
                  <w:vAlign w:val="center"/>
                </w:tcPr>
                <w:p>
                  <w:pPr>
                    <w:adjustRightInd w:val="0"/>
                    <w:snapToGrid w:val="0"/>
                    <w:jc w:val="center"/>
                    <w:rPr>
                      <w:bCs/>
                      <w:szCs w:val="21"/>
                    </w:rPr>
                  </w:pPr>
                </w:p>
              </w:tc>
              <w:tc>
                <w:tcPr>
                  <w:tcW w:w="3828" w:type="dxa"/>
                  <w:vMerge w:val="continue"/>
                  <w:tcBorders>
                    <w:right w:val="single" w:color="auto" w:sz="12" w:space="0"/>
                  </w:tcBorders>
                  <w:tcMar>
                    <w:top w:w="0" w:type="dxa"/>
                    <w:left w:w="0" w:type="dxa"/>
                    <w:bottom w:w="0" w:type="dxa"/>
                    <w:right w:w="0" w:type="dxa"/>
                  </w:tcMar>
                  <w:vAlign w:val="center"/>
                </w:tcPr>
                <w:p>
                  <w:pPr>
                    <w:jc w:val="center"/>
                    <w:rPr>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800" w:hRule="exact"/>
                <w:jc w:val="center"/>
              </w:trPr>
              <w:tc>
                <w:tcPr>
                  <w:tcW w:w="680" w:type="dxa"/>
                  <w:tcBorders>
                    <w:top w:val="single" w:color="auto" w:sz="4" w:space="0"/>
                    <w:left w:val="single" w:color="auto" w:sz="12" w:space="0"/>
                    <w:bottom w:val="single" w:color="auto" w:sz="2" w:space="0"/>
                  </w:tcBorders>
                  <w:tcMar>
                    <w:top w:w="0" w:type="dxa"/>
                    <w:left w:w="0" w:type="dxa"/>
                    <w:bottom w:w="0" w:type="dxa"/>
                    <w:right w:w="0" w:type="dxa"/>
                  </w:tcMar>
                  <w:vAlign w:val="center"/>
                </w:tcPr>
                <w:p>
                  <w:pPr>
                    <w:jc w:val="center"/>
                    <w:rPr>
                      <w:bCs/>
                      <w:szCs w:val="21"/>
                    </w:rPr>
                  </w:pPr>
                  <w:r>
                    <w:rPr>
                      <w:bCs/>
                      <w:szCs w:val="21"/>
                    </w:rPr>
                    <w:t>噪声</w:t>
                  </w:r>
                </w:p>
              </w:tc>
              <w:tc>
                <w:tcPr>
                  <w:tcW w:w="1276" w:type="dxa"/>
                  <w:tcBorders>
                    <w:top w:val="single" w:color="auto" w:sz="4" w:space="0"/>
                    <w:bottom w:val="single" w:color="auto" w:sz="2" w:space="0"/>
                  </w:tcBorders>
                  <w:tcMar>
                    <w:top w:w="0" w:type="dxa"/>
                    <w:left w:w="0" w:type="dxa"/>
                    <w:bottom w:w="0" w:type="dxa"/>
                    <w:right w:w="0" w:type="dxa"/>
                  </w:tcMar>
                  <w:vAlign w:val="center"/>
                </w:tcPr>
                <w:p>
                  <w:pPr>
                    <w:jc w:val="center"/>
                    <w:rPr>
                      <w:bCs/>
                      <w:szCs w:val="21"/>
                    </w:rPr>
                  </w:pPr>
                  <w:r>
                    <w:rPr>
                      <w:rFonts w:hint="eastAsia"/>
                      <w:bCs/>
                      <w:szCs w:val="21"/>
                    </w:rPr>
                    <w:t>风机、水泵等</w:t>
                  </w:r>
                </w:p>
              </w:tc>
              <w:tc>
                <w:tcPr>
                  <w:tcW w:w="2367" w:type="dxa"/>
                  <w:tcBorders>
                    <w:top w:val="single" w:color="auto" w:sz="4" w:space="0"/>
                    <w:bottom w:val="single" w:color="auto" w:sz="2" w:space="0"/>
                  </w:tcBorders>
                  <w:tcMar>
                    <w:top w:w="0" w:type="dxa"/>
                    <w:left w:w="0" w:type="dxa"/>
                    <w:bottom w:w="0" w:type="dxa"/>
                    <w:right w:w="0" w:type="dxa"/>
                  </w:tcMar>
                  <w:vAlign w:val="center"/>
                </w:tcPr>
                <w:p>
                  <w:pPr>
                    <w:jc w:val="center"/>
                    <w:rPr>
                      <w:bCs/>
                      <w:szCs w:val="21"/>
                    </w:rPr>
                  </w:pPr>
                  <w:r>
                    <w:rPr>
                      <w:rFonts w:hint="eastAsia"/>
                      <w:bCs/>
                      <w:szCs w:val="21"/>
                    </w:rPr>
                    <w:t>基础减震、隔声、消声等措施</w:t>
                  </w:r>
                </w:p>
              </w:tc>
              <w:tc>
                <w:tcPr>
                  <w:tcW w:w="759" w:type="dxa"/>
                  <w:tcBorders>
                    <w:top w:val="single" w:color="auto" w:sz="4" w:space="0"/>
                    <w:bottom w:val="single" w:color="auto" w:sz="2" w:space="0"/>
                  </w:tcBorders>
                  <w:tcMar>
                    <w:top w:w="0" w:type="dxa"/>
                    <w:left w:w="0" w:type="dxa"/>
                    <w:bottom w:w="0" w:type="dxa"/>
                    <w:right w:w="0" w:type="dxa"/>
                  </w:tcMar>
                  <w:vAlign w:val="center"/>
                </w:tcPr>
                <w:p>
                  <w:pPr>
                    <w:jc w:val="center"/>
                    <w:rPr>
                      <w:bCs/>
                      <w:szCs w:val="21"/>
                    </w:rPr>
                  </w:pPr>
                  <w:r>
                    <w:rPr>
                      <w:rFonts w:hint="eastAsia"/>
                      <w:bCs/>
                      <w:szCs w:val="21"/>
                    </w:rPr>
                    <w:t>/</w:t>
                  </w:r>
                </w:p>
              </w:tc>
              <w:tc>
                <w:tcPr>
                  <w:tcW w:w="3828" w:type="dxa"/>
                  <w:tcBorders>
                    <w:top w:val="single" w:color="auto" w:sz="4" w:space="0"/>
                    <w:bottom w:val="single" w:color="auto" w:sz="2" w:space="0"/>
                    <w:right w:val="single" w:color="auto" w:sz="12" w:space="0"/>
                  </w:tcBorders>
                  <w:tcMar>
                    <w:top w:w="0" w:type="dxa"/>
                    <w:left w:w="0" w:type="dxa"/>
                    <w:bottom w:w="0" w:type="dxa"/>
                    <w:right w:w="0" w:type="dxa"/>
                  </w:tcMar>
                  <w:vAlign w:val="center"/>
                </w:tcPr>
                <w:p>
                  <w:pPr>
                    <w:adjustRightInd w:val="0"/>
                    <w:snapToGrid w:val="0"/>
                    <w:jc w:val="center"/>
                    <w:rPr>
                      <w:bCs/>
                      <w:szCs w:val="21"/>
                    </w:rPr>
                  </w:pPr>
                  <w:r>
                    <w:rPr>
                      <w:rFonts w:hint="eastAsia"/>
                      <w:szCs w:val="21"/>
                    </w:rPr>
                    <w:t>《工业企业厂界环境噪声排放标准》(GB12348-2008)中2类标准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707" w:hRule="exact"/>
                <w:jc w:val="center"/>
              </w:trPr>
              <w:tc>
                <w:tcPr>
                  <w:tcW w:w="680" w:type="dxa"/>
                  <w:tcBorders>
                    <w:left w:val="single" w:color="auto" w:sz="12" w:space="0"/>
                    <w:bottom w:val="single" w:color="auto" w:sz="12" w:space="0"/>
                  </w:tcBorders>
                  <w:vAlign w:val="center"/>
                </w:tcPr>
                <w:p>
                  <w:pPr>
                    <w:widowControl/>
                    <w:jc w:val="center"/>
                    <w:rPr>
                      <w:bCs/>
                      <w:szCs w:val="21"/>
                    </w:rPr>
                  </w:pPr>
                  <w:r>
                    <w:rPr>
                      <w:rFonts w:hint="eastAsia"/>
                      <w:bCs/>
                      <w:szCs w:val="21"/>
                    </w:rPr>
                    <w:t>固</w:t>
                  </w:r>
                  <w:r>
                    <w:rPr>
                      <w:bCs/>
                      <w:szCs w:val="21"/>
                    </w:rPr>
                    <w:t>废</w:t>
                  </w:r>
                </w:p>
              </w:tc>
              <w:tc>
                <w:tcPr>
                  <w:tcW w:w="1276" w:type="dxa"/>
                  <w:tcBorders>
                    <w:bottom w:val="single" w:color="auto" w:sz="12" w:space="0"/>
                  </w:tcBorders>
                  <w:tcMar>
                    <w:top w:w="0" w:type="dxa"/>
                    <w:left w:w="0" w:type="dxa"/>
                    <w:bottom w:w="0" w:type="dxa"/>
                    <w:right w:w="0" w:type="dxa"/>
                  </w:tcMar>
                  <w:vAlign w:val="center"/>
                </w:tcPr>
                <w:p>
                  <w:pPr>
                    <w:jc w:val="center"/>
                    <w:rPr>
                      <w:bCs/>
                      <w:szCs w:val="21"/>
                    </w:rPr>
                  </w:pPr>
                  <w:r>
                    <w:rPr>
                      <w:rFonts w:hint="eastAsia"/>
                      <w:bCs/>
                      <w:szCs w:val="21"/>
                    </w:rPr>
                    <w:t>废离子交换树脂</w:t>
                  </w:r>
                </w:p>
              </w:tc>
              <w:tc>
                <w:tcPr>
                  <w:tcW w:w="2367" w:type="dxa"/>
                  <w:tcBorders>
                    <w:bottom w:val="single" w:color="auto" w:sz="12" w:space="0"/>
                  </w:tcBorders>
                  <w:tcMar>
                    <w:top w:w="0" w:type="dxa"/>
                    <w:left w:w="0" w:type="dxa"/>
                    <w:bottom w:w="0" w:type="dxa"/>
                    <w:right w:w="0" w:type="dxa"/>
                  </w:tcMar>
                  <w:vAlign w:val="center"/>
                </w:tcPr>
                <w:p>
                  <w:pPr>
                    <w:jc w:val="center"/>
                    <w:rPr>
                      <w:bCs/>
                      <w:szCs w:val="21"/>
                    </w:rPr>
                  </w:pPr>
                  <w:r>
                    <w:rPr>
                      <w:rFonts w:hint="eastAsia"/>
                      <w:bCs/>
                      <w:szCs w:val="21"/>
                    </w:rPr>
                    <w:t xml:space="preserve">交有资质的单位处理，不在厂内暂存 </w:t>
                  </w:r>
                </w:p>
                <w:p>
                  <w:pPr>
                    <w:jc w:val="center"/>
                    <w:rPr>
                      <w:bCs/>
                      <w:szCs w:val="21"/>
                    </w:rPr>
                  </w:pPr>
                  <w:r>
                    <w:rPr>
                      <w:bCs/>
                      <w:szCs w:val="21"/>
                    </w:rPr>
                    <w:t>/</w:t>
                  </w:r>
                </w:p>
              </w:tc>
              <w:tc>
                <w:tcPr>
                  <w:tcW w:w="759" w:type="dxa"/>
                  <w:tcBorders>
                    <w:bottom w:val="single" w:color="auto" w:sz="12" w:space="0"/>
                  </w:tcBorders>
                  <w:tcMar>
                    <w:top w:w="0" w:type="dxa"/>
                    <w:left w:w="0" w:type="dxa"/>
                    <w:bottom w:w="0" w:type="dxa"/>
                    <w:right w:w="0" w:type="dxa"/>
                  </w:tcMar>
                  <w:vAlign w:val="center"/>
                </w:tcPr>
                <w:p>
                  <w:pPr>
                    <w:jc w:val="center"/>
                    <w:rPr>
                      <w:bCs/>
                      <w:szCs w:val="21"/>
                    </w:rPr>
                  </w:pPr>
                  <w:r>
                    <w:rPr>
                      <w:rFonts w:hint="eastAsia"/>
                      <w:bCs/>
                      <w:szCs w:val="21"/>
                    </w:rPr>
                    <w:t>/</w:t>
                  </w:r>
                </w:p>
              </w:tc>
              <w:tc>
                <w:tcPr>
                  <w:tcW w:w="3828" w:type="dxa"/>
                  <w:tcBorders>
                    <w:bottom w:val="single" w:color="auto" w:sz="12" w:space="0"/>
                    <w:right w:val="single" w:color="auto" w:sz="12" w:space="0"/>
                  </w:tcBorders>
                  <w:vAlign w:val="center"/>
                </w:tcPr>
                <w:p>
                  <w:pPr>
                    <w:widowControl/>
                    <w:jc w:val="center"/>
                    <w:rPr>
                      <w:bCs/>
                      <w:szCs w:val="21"/>
                    </w:rPr>
                  </w:pPr>
                  <w:r>
                    <w:rPr>
                      <w:rFonts w:hint="eastAsia"/>
                      <w:bCs/>
                      <w:szCs w:val="21"/>
                    </w:rPr>
                    <w:t>安全处置</w:t>
                  </w:r>
                </w:p>
              </w:tc>
            </w:tr>
          </w:tbl>
          <w:p>
            <w:pPr>
              <w:pStyle w:val="2"/>
              <w:spacing w:line="360" w:lineRule="auto"/>
              <w:ind w:left="0" w:leftChars="0" w:firstLine="432" w:firstLineChars="180"/>
              <w:jc w:val="left"/>
            </w:pPr>
            <w:r>
              <w:rPr>
                <w:rFonts w:hint="eastAsia"/>
              </w:rPr>
              <w:t>（2）环保投资</w:t>
            </w:r>
          </w:p>
          <w:p>
            <w:pPr>
              <w:pStyle w:val="2"/>
              <w:spacing w:line="360" w:lineRule="auto"/>
              <w:ind w:left="0" w:leftChars="0" w:firstLine="432" w:firstLineChars="180"/>
              <w:jc w:val="left"/>
            </w:pPr>
            <w:r>
              <w:rPr>
                <w:rFonts w:hint="eastAsia"/>
              </w:rPr>
              <w:t>本项目总投资100万元，环保投资约25万元，占总投资比例的25%，环保投资估算见表22。</w:t>
            </w:r>
          </w:p>
          <w:p>
            <w:pPr>
              <w:spacing w:line="360" w:lineRule="auto"/>
              <w:jc w:val="center"/>
              <w:outlineLvl w:val="4"/>
              <w:rPr>
                <w:rFonts w:eastAsia="黑体"/>
                <w:sz w:val="24"/>
                <w:szCs w:val="21"/>
              </w:rPr>
            </w:pPr>
          </w:p>
          <w:p>
            <w:pPr>
              <w:spacing w:line="360" w:lineRule="auto"/>
              <w:jc w:val="center"/>
              <w:outlineLvl w:val="4"/>
              <w:rPr>
                <w:rFonts w:eastAsia="黑体"/>
                <w:sz w:val="24"/>
                <w:szCs w:val="21"/>
              </w:rPr>
            </w:pPr>
          </w:p>
          <w:p>
            <w:pPr>
              <w:spacing w:line="360" w:lineRule="auto"/>
              <w:jc w:val="center"/>
              <w:outlineLvl w:val="4"/>
              <w:rPr>
                <w:rFonts w:eastAsia="黑体"/>
                <w:sz w:val="24"/>
                <w:szCs w:val="21"/>
              </w:rPr>
            </w:pPr>
            <w:r>
              <w:rPr>
                <w:rFonts w:hint="eastAsia" w:eastAsia="黑体"/>
                <w:sz w:val="24"/>
                <w:szCs w:val="21"/>
              </w:rPr>
              <w:t>表22 本项目环保投资估算</w:t>
            </w:r>
          </w:p>
          <w:tbl>
            <w:tblPr>
              <w:tblStyle w:val="25"/>
              <w:tblW w:w="807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0"/>
              <w:gridCol w:w="1560"/>
              <w:gridCol w:w="3118"/>
              <w:gridCol w:w="992"/>
              <w:gridCol w:w="15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579" w:hRule="exact"/>
                <w:jc w:val="center"/>
              </w:trPr>
              <w:tc>
                <w:tcPr>
                  <w:tcW w:w="850" w:type="dxa"/>
                  <w:tcBorders>
                    <w:top w:val="single" w:color="auto" w:sz="12" w:space="0"/>
                    <w:left w:val="single" w:color="auto" w:sz="12" w:space="0"/>
                  </w:tcBorders>
                  <w:tcMar>
                    <w:top w:w="0" w:type="dxa"/>
                    <w:left w:w="0" w:type="dxa"/>
                    <w:bottom w:w="0" w:type="dxa"/>
                    <w:right w:w="0" w:type="dxa"/>
                  </w:tcMar>
                  <w:vAlign w:val="center"/>
                </w:tcPr>
                <w:p>
                  <w:pPr>
                    <w:jc w:val="center"/>
                    <w:rPr>
                      <w:bCs/>
                      <w:szCs w:val="21"/>
                    </w:rPr>
                  </w:pPr>
                  <w:r>
                    <w:rPr>
                      <w:rFonts w:hint="eastAsia"/>
                      <w:bCs/>
                      <w:szCs w:val="21"/>
                    </w:rPr>
                    <w:t>类别</w:t>
                  </w:r>
                </w:p>
              </w:tc>
              <w:tc>
                <w:tcPr>
                  <w:tcW w:w="1560" w:type="dxa"/>
                  <w:tcBorders>
                    <w:top w:val="single" w:color="auto" w:sz="12" w:space="0"/>
                  </w:tcBorders>
                  <w:tcMar>
                    <w:top w:w="0" w:type="dxa"/>
                    <w:left w:w="0" w:type="dxa"/>
                    <w:bottom w:w="0" w:type="dxa"/>
                    <w:right w:w="0" w:type="dxa"/>
                  </w:tcMar>
                  <w:vAlign w:val="center"/>
                </w:tcPr>
                <w:p>
                  <w:pPr>
                    <w:jc w:val="center"/>
                    <w:rPr>
                      <w:bCs/>
                      <w:szCs w:val="21"/>
                    </w:rPr>
                  </w:pPr>
                  <w:r>
                    <w:rPr>
                      <w:rFonts w:hint="eastAsia"/>
                      <w:bCs/>
                      <w:szCs w:val="21"/>
                    </w:rPr>
                    <w:t>主要污染源</w:t>
                  </w:r>
                </w:p>
              </w:tc>
              <w:tc>
                <w:tcPr>
                  <w:tcW w:w="3118" w:type="dxa"/>
                  <w:tcBorders>
                    <w:top w:val="single" w:color="auto" w:sz="12" w:space="0"/>
                  </w:tcBorders>
                  <w:tcMar>
                    <w:top w:w="0" w:type="dxa"/>
                    <w:left w:w="0" w:type="dxa"/>
                    <w:bottom w:w="0" w:type="dxa"/>
                    <w:right w:w="0" w:type="dxa"/>
                  </w:tcMar>
                  <w:vAlign w:val="center"/>
                </w:tcPr>
                <w:p>
                  <w:pPr>
                    <w:jc w:val="center"/>
                    <w:rPr>
                      <w:bCs/>
                      <w:szCs w:val="21"/>
                    </w:rPr>
                  </w:pPr>
                  <w:r>
                    <w:rPr>
                      <w:rFonts w:hint="eastAsia"/>
                      <w:bCs/>
                      <w:szCs w:val="21"/>
                    </w:rPr>
                    <w:t>环保措施与设施</w:t>
                  </w:r>
                </w:p>
              </w:tc>
              <w:tc>
                <w:tcPr>
                  <w:tcW w:w="992" w:type="dxa"/>
                  <w:tcBorders>
                    <w:top w:val="single" w:color="auto" w:sz="12" w:space="0"/>
                  </w:tcBorders>
                  <w:tcMar>
                    <w:top w:w="0" w:type="dxa"/>
                    <w:left w:w="0" w:type="dxa"/>
                    <w:bottom w:w="0" w:type="dxa"/>
                    <w:right w:w="0" w:type="dxa"/>
                  </w:tcMar>
                  <w:vAlign w:val="center"/>
                </w:tcPr>
                <w:p>
                  <w:pPr>
                    <w:jc w:val="center"/>
                    <w:rPr>
                      <w:bCs/>
                      <w:szCs w:val="21"/>
                    </w:rPr>
                  </w:pPr>
                  <w:r>
                    <w:rPr>
                      <w:rFonts w:hint="eastAsia"/>
                      <w:bCs/>
                      <w:szCs w:val="21"/>
                    </w:rPr>
                    <w:t>数量</w:t>
                  </w:r>
                </w:p>
                <w:p>
                  <w:pPr>
                    <w:jc w:val="center"/>
                    <w:rPr>
                      <w:bCs/>
                      <w:szCs w:val="21"/>
                    </w:rPr>
                  </w:pPr>
                  <w:r>
                    <w:rPr>
                      <w:bCs/>
                      <w:szCs w:val="21"/>
                    </w:rPr>
                    <w:t>（万元）</w:t>
                  </w:r>
                </w:p>
              </w:tc>
              <w:tc>
                <w:tcPr>
                  <w:tcW w:w="1558" w:type="dxa"/>
                  <w:tcBorders>
                    <w:top w:val="single" w:color="auto" w:sz="12" w:space="0"/>
                    <w:right w:val="single" w:color="auto" w:sz="12" w:space="0"/>
                  </w:tcBorders>
                  <w:tcMar>
                    <w:top w:w="0" w:type="dxa"/>
                    <w:left w:w="0" w:type="dxa"/>
                    <w:bottom w:w="0" w:type="dxa"/>
                    <w:right w:w="0" w:type="dxa"/>
                  </w:tcMar>
                  <w:vAlign w:val="center"/>
                </w:tcPr>
                <w:p>
                  <w:pPr>
                    <w:jc w:val="center"/>
                    <w:rPr>
                      <w:bCs/>
                      <w:szCs w:val="21"/>
                    </w:rPr>
                  </w:pPr>
                  <w:r>
                    <w:rPr>
                      <w:rFonts w:hint="eastAsia"/>
                      <w:bCs/>
                      <w:szCs w:val="21"/>
                    </w:rPr>
                    <w:t>投资估算（万元）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exact"/>
                <w:jc w:val="center"/>
              </w:trPr>
              <w:tc>
                <w:tcPr>
                  <w:tcW w:w="850" w:type="dxa"/>
                  <w:vMerge w:val="restart"/>
                  <w:tcBorders>
                    <w:left w:val="single" w:color="auto" w:sz="12" w:space="0"/>
                  </w:tcBorders>
                  <w:tcMar>
                    <w:top w:w="0" w:type="dxa"/>
                    <w:left w:w="0" w:type="dxa"/>
                    <w:bottom w:w="0" w:type="dxa"/>
                    <w:right w:w="0" w:type="dxa"/>
                  </w:tcMar>
                  <w:vAlign w:val="center"/>
                </w:tcPr>
                <w:p>
                  <w:pPr>
                    <w:adjustRightInd w:val="0"/>
                    <w:snapToGrid w:val="0"/>
                    <w:jc w:val="center"/>
                    <w:rPr>
                      <w:bCs/>
                      <w:szCs w:val="21"/>
                    </w:rPr>
                  </w:pPr>
                  <w:bookmarkStart w:id="33" w:name="_Hlk309826835"/>
                  <w:r>
                    <w:rPr>
                      <w:rFonts w:hint="eastAsia"/>
                      <w:bCs/>
                      <w:szCs w:val="21"/>
                    </w:rPr>
                    <w:t>废气</w:t>
                  </w:r>
                </w:p>
              </w:tc>
              <w:tc>
                <w:tcPr>
                  <w:tcW w:w="1560" w:type="dxa"/>
                  <w:vMerge w:val="restart"/>
                  <w:tcMar>
                    <w:top w:w="0" w:type="dxa"/>
                    <w:left w:w="0" w:type="dxa"/>
                    <w:bottom w:w="0" w:type="dxa"/>
                    <w:right w:w="0" w:type="dxa"/>
                  </w:tcMar>
                  <w:vAlign w:val="center"/>
                </w:tcPr>
                <w:p>
                  <w:pPr>
                    <w:adjustRightInd w:val="0"/>
                    <w:snapToGrid w:val="0"/>
                    <w:jc w:val="center"/>
                    <w:rPr>
                      <w:bCs/>
                      <w:szCs w:val="21"/>
                    </w:rPr>
                  </w:pPr>
                  <w:r>
                    <w:rPr>
                      <w:rFonts w:hint="eastAsia"/>
                      <w:bCs/>
                      <w:szCs w:val="21"/>
                    </w:rPr>
                    <w:t>锅炉废气</w:t>
                  </w:r>
                </w:p>
              </w:tc>
              <w:tc>
                <w:tcPr>
                  <w:tcW w:w="3118" w:type="dxa"/>
                  <w:tcBorders>
                    <w:bottom w:val="single" w:color="auto" w:sz="4" w:space="0"/>
                  </w:tcBorders>
                  <w:tcMar>
                    <w:top w:w="0" w:type="dxa"/>
                    <w:left w:w="0" w:type="dxa"/>
                    <w:bottom w:w="0" w:type="dxa"/>
                    <w:right w:w="0" w:type="dxa"/>
                  </w:tcMar>
                  <w:vAlign w:val="center"/>
                </w:tcPr>
                <w:p>
                  <w:pPr>
                    <w:adjustRightInd w:val="0"/>
                    <w:snapToGrid w:val="0"/>
                    <w:jc w:val="center"/>
                    <w:rPr>
                      <w:bCs/>
                      <w:szCs w:val="21"/>
                    </w:rPr>
                  </w:pPr>
                  <w:r>
                    <w:rPr>
                      <w:rFonts w:hint="eastAsia"/>
                      <w:bCs/>
                      <w:szCs w:val="21"/>
                    </w:rPr>
                    <w:t>超低氮燃烧器</w:t>
                  </w:r>
                </w:p>
              </w:tc>
              <w:tc>
                <w:tcPr>
                  <w:tcW w:w="992" w:type="dxa"/>
                  <w:tcMar>
                    <w:top w:w="0" w:type="dxa"/>
                    <w:left w:w="0" w:type="dxa"/>
                    <w:bottom w:w="0" w:type="dxa"/>
                    <w:right w:w="0" w:type="dxa"/>
                  </w:tcMar>
                  <w:vAlign w:val="center"/>
                </w:tcPr>
                <w:p>
                  <w:pPr>
                    <w:adjustRightInd w:val="0"/>
                    <w:snapToGrid w:val="0"/>
                    <w:jc w:val="center"/>
                    <w:rPr>
                      <w:bCs/>
                      <w:szCs w:val="21"/>
                    </w:rPr>
                  </w:pPr>
                  <w:r>
                    <w:rPr>
                      <w:rFonts w:hint="eastAsia"/>
                      <w:bCs/>
                      <w:szCs w:val="21"/>
                    </w:rPr>
                    <w:t>1套</w:t>
                  </w:r>
                </w:p>
              </w:tc>
              <w:tc>
                <w:tcPr>
                  <w:tcW w:w="1558" w:type="dxa"/>
                  <w:vMerge w:val="restart"/>
                  <w:tcBorders>
                    <w:right w:val="single" w:color="auto" w:sz="12" w:space="0"/>
                  </w:tcBorders>
                  <w:tcMar>
                    <w:top w:w="0" w:type="dxa"/>
                    <w:left w:w="0" w:type="dxa"/>
                    <w:bottom w:w="0" w:type="dxa"/>
                    <w:right w:w="0" w:type="dxa"/>
                  </w:tcMar>
                  <w:vAlign w:val="center"/>
                </w:tcPr>
                <w:p>
                  <w:pPr>
                    <w:jc w:val="center"/>
                    <w:rPr>
                      <w:bCs/>
                      <w:szCs w:val="21"/>
                    </w:rPr>
                  </w:pPr>
                  <w:r>
                    <w:rPr>
                      <w:rFonts w:hint="eastAsia"/>
                      <w:bCs/>
                      <w:szCs w:val="21"/>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exact"/>
                <w:jc w:val="center"/>
              </w:trPr>
              <w:tc>
                <w:tcPr>
                  <w:tcW w:w="850" w:type="dxa"/>
                  <w:vMerge w:val="continue"/>
                  <w:tcBorders>
                    <w:left w:val="single" w:color="auto" w:sz="12" w:space="0"/>
                  </w:tcBorders>
                  <w:tcMar>
                    <w:top w:w="0" w:type="dxa"/>
                    <w:left w:w="0" w:type="dxa"/>
                    <w:bottom w:w="0" w:type="dxa"/>
                    <w:right w:w="0" w:type="dxa"/>
                  </w:tcMar>
                  <w:vAlign w:val="center"/>
                </w:tcPr>
                <w:p>
                  <w:pPr>
                    <w:adjustRightInd w:val="0"/>
                    <w:snapToGrid w:val="0"/>
                    <w:jc w:val="center"/>
                    <w:rPr>
                      <w:bCs/>
                      <w:szCs w:val="21"/>
                    </w:rPr>
                  </w:pPr>
                </w:p>
              </w:tc>
              <w:tc>
                <w:tcPr>
                  <w:tcW w:w="1560" w:type="dxa"/>
                  <w:vMerge w:val="continue"/>
                  <w:tcMar>
                    <w:top w:w="0" w:type="dxa"/>
                    <w:left w:w="0" w:type="dxa"/>
                    <w:bottom w:w="0" w:type="dxa"/>
                    <w:right w:w="0" w:type="dxa"/>
                  </w:tcMar>
                  <w:vAlign w:val="center"/>
                </w:tcPr>
                <w:p>
                  <w:pPr>
                    <w:adjustRightInd w:val="0"/>
                    <w:snapToGrid w:val="0"/>
                    <w:jc w:val="center"/>
                    <w:rPr>
                      <w:bCs/>
                      <w:szCs w:val="21"/>
                    </w:rPr>
                  </w:pPr>
                </w:p>
              </w:tc>
              <w:tc>
                <w:tcPr>
                  <w:tcW w:w="3118" w:type="dxa"/>
                  <w:tcBorders>
                    <w:bottom w:val="single" w:color="auto" w:sz="4" w:space="0"/>
                  </w:tcBorders>
                  <w:tcMar>
                    <w:top w:w="0" w:type="dxa"/>
                    <w:left w:w="0" w:type="dxa"/>
                    <w:bottom w:w="0" w:type="dxa"/>
                    <w:right w:w="0" w:type="dxa"/>
                  </w:tcMar>
                  <w:vAlign w:val="center"/>
                </w:tcPr>
                <w:p>
                  <w:pPr>
                    <w:adjustRightInd w:val="0"/>
                    <w:snapToGrid w:val="0"/>
                    <w:jc w:val="center"/>
                    <w:rPr>
                      <w:bCs/>
                      <w:szCs w:val="21"/>
                    </w:rPr>
                  </w:pPr>
                  <w:r>
                    <w:rPr>
                      <w:rFonts w:hint="eastAsia"/>
                      <w:bCs/>
                      <w:szCs w:val="21"/>
                    </w:rPr>
                    <w:t>12m排气筒</w:t>
                  </w:r>
                </w:p>
              </w:tc>
              <w:tc>
                <w:tcPr>
                  <w:tcW w:w="992" w:type="dxa"/>
                  <w:tcMar>
                    <w:top w:w="0" w:type="dxa"/>
                    <w:left w:w="0" w:type="dxa"/>
                    <w:bottom w:w="0" w:type="dxa"/>
                    <w:right w:w="0" w:type="dxa"/>
                  </w:tcMar>
                  <w:vAlign w:val="center"/>
                </w:tcPr>
                <w:p>
                  <w:pPr>
                    <w:adjustRightInd w:val="0"/>
                    <w:snapToGrid w:val="0"/>
                    <w:jc w:val="center"/>
                    <w:rPr>
                      <w:bCs/>
                      <w:szCs w:val="21"/>
                    </w:rPr>
                  </w:pPr>
                  <w:r>
                    <w:rPr>
                      <w:rFonts w:hint="eastAsia"/>
                      <w:bCs/>
                      <w:szCs w:val="21"/>
                    </w:rPr>
                    <w:t>1根</w:t>
                  </w:r>
                </w:p>
              </w:tc>
              <w:tc>
                <w:tcPr>
                  <w:tcW w:w="1558" w:type="dxa"/>
                  <w:vMerge w:val="continue"/>
                  <w:tcBorders>
                    <w:right w:val="single" w:color="auto" w:sz="12" w:space="0"/>
                  </w:tcBorders>
                  <w:tcMar>
                    <w:top w:w="0" w:type="dxa"/>
                    <w:left w:w="0" w:type="dxa"/>
                    <w:bottom w:w="0" w:type="dxa"/>
                    <w:right w:w="0" w:type="dxa"/>
                  </w:tcMar>
                  <w:vAlign w:val="center"/>
                </w:tcPr>
                <w:p>
                  <w:pPr>
                    <w:jc w:val="center"/>
                    <w:rPr>
                      <w:szCs w:val="21"/>
                    </w:rPr>
                  </w:pPr>
                </w:p>
              </w:tc>
            </w:tr>
            <w:bookmarkEnd w:id="33"/>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exact"/>
                <w:jc w:val="center"/>
              </w:trPr>
              <w:tc>
                <w:tcPr>
                  <w:tcW w:w="850" w:type="dxa"/>
                  <w:tcBorders>
                    <w:top w:val="single" w:color="auto" w:sz="4" w:space="0"/>
                    <w:left w:val="single" w:color="auto" w:sz="12" w:space="0"/>
                  </w:tcBorders>
                  <w:tcMar>
                    <w:top w:w="0" w:type="dxa"/>
                    <w:left w:w="0" w:type="dxa"/>
                    <w:bottom w:w="0" w:type="dxa"/>
                    <w:right w:w="0" w:type="dxa"/>
                  </w:tcMar>
                  <w:vAlign w:val="center"/>
                </w:tcPr>
                <w:p>
                  <w:pPr>
                    <w:jc w:val="center"/>
                    <w:rPr>
                      <w:bCs/>
                      <w:szCs w:val="21"/>
                    </w:rPr>
                  </w:pPr>
                  <w:r>
                    <w:rPr>
                      <w:bCs/>
                      <w:szCs w:val="21"/>
                    </w:rPr>
                    <w:t>噪声</w:t>
                  </w:r>
                </w:p>
              </w:tc>
              <w:tc>
                <w:tcPr>
                  <w:tcW w:w="1560" w:type="dxa"/>
                  <w:tcBorders>
                    <w:top w:val="single" w:color="auto" w:sz="4" w:space="0"/>
                  </w:tcBorders>
                  <w:tcMar>
                    <w:top w:w="0" w:type="dxa"/>
                    <w:left w:w="0" w:type="dxa"/>
                    <w:bottom w:w="0" w:type="dxa"/>
                    <w:right w:w="0" w:type="dxa"/>
                  </w:tcMar>
                  <w:vAlign w:val="center"/>
                </w:tcPr>
                <w:p>
                  <w:pPr>
                    <w:jc w:val="center"/>
                    <w:rPr>
                      <w:bCs/>
                      <w:szCs w:val="21"/>
                    </w:rPr>
                  </w:pPr>
                  <w:r>
                    <w:rPr>
                      <w:rFonts w:hint="eastAsia"/>
                      <w:bCs/>
                      <w:szCs w:val="21"/>
                    </w:rPr>
                    <w:t>风机、水泵等</w:t>
                  </w:r>
                </w:p>
              </w:tc>
              <w:tc>
                <w:tcPr>
                  <w:tcW w:w="3118" w:type="dxa"/>
                  <w:tcBorders>
                    <w:top w:val="single" w:color="auto" w:sz="4" w:space="0"/>
                  </w:tcBorders>
                  <w:tcMar>
                    <w:top w:w="0" w:type="dxa"/>
                    <w:left w:w="0" w:type="dxa"/>
                    <w:bottom w:w="0" w:type="dxa"/>
                    <w:right w:w="0" w:type="dxa"/>
                  </w:tcMar>
                  <w:vAlign w:val="center"/>
                </w:tcPr>
                <w:p>
                  <w:pPr>
                    <w:jc w:val="center"/>
                    <w:rPr>
                      <w:bCs/>
                      <w:szCs w:val="21"/>
                    </w:rPr>
                  </w:pPr>
                  <w:r>
                    <w:rPr>
                      <w:rFonts w:hint="eastAsia"/>
                      <w:bCs/>
                      <w:szCs w:val="21"/>
                    </w:rPr>
                    <w:t>基础减震、隔声、消声等措施</w:t>
                  </w:r>
                </w:p>
              </w:tc>
              <w:tc>
                <w:tcPr>
                  <w:tcW w:w="992" w:type="dxa"/>
                  <w:tcBorders>
                    <w:top w:val="single" w:color="auto" w:sz="4" w:space="0"/>
                  </w:tcBorders>
                  <w:tcMar>
                    <w:top w:w="0" w:type="dxa"/>
                    <w:left w:w="0" w:type="dxa"/>
                    <w:bottom w:w="0" w:type="dxa"/>
                    <w:right w:w="0" w:type="dxa"/>
                  </w:tcMar>
                  <w:vAlign w:val="center"/>
                </w:tcPr>
                <w:p>
                  <w:pPr>
                    <w:jc w:val="center"/>
                    <w:rPr>
                      <w:bCs/>
                      <w:szCs w:val="21"/>
                    </w:rPr>
                  </w:pPr>
                  <w:r>
                    <w:rPr>
                      <w:rFonts w:hint="eastAsia"/>
                      <w:bCs/>
                      <w:szCs w:val="21"/>
                    </w:rPr>
                    <w:t>/</w:t>
                  </w:r>
                </w:p>
              </w:tc>
              <w:tc>
                <w:tcPr>
                  <w:tcW w:w="1558" w:type="dxa"/>
                  <w:tcBorders>
                    <w:top w:val="single" w:color="auto" w:sz="4" w:space="0"/>
                    <w:right w:val="single" w:color="auto" w:sz="12" w:space="0"/>
                  </w:tcBorders>
                  <w:tcMar>
                    <w:top w:w="0" w:type="dxa"/>
                    <w:left w:w="0" w:type="dxa"/>
                    <w:bottom w:w="0" w:type="dxa"/>
                    <w:right w:w="0" w:type="dxa"/>
                  </w:tcMar>
                  <w:vAlign w:val="center"/>
                </w:tcPr>
                <w:p>
                  <w:pPr>
                    <w:adjustRightInd w:val="0"/>
                    <w:snapToGrid w:val="0"/>
                    <w:jc w:val="center"/>
                    <w:rPr>
                      <w:bCs/>
                      <w:szCs w:val="21"/>
                    </w:rPr>
                  </w:pPr>
                  <w:r>
                    <w:rPr>
                      <w:rFonts w:hint="eastAsia"/>
                      <w:bCs/>
                      <w:szCs w:val="21"/>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exact"/>
                <w:jc w:val="center"/>
              </w:trPr>
              <w:tc>
                <w:tcPr>
                  <w:tcW w:w="2410" w:type="dxa"/>
                  <w:gridSpan w:val="2"/>
                  <w:tcBorders>
                    <w:left w:val="single" w:color="auto" w:sz="12" w:space="0"/>
                    <w:bottom w:val="single" w:color="auto" w:sz="12" w:space="0"/>
                  </w:tcBorders>
                  <w:tcMar>
                    <w:top w:w="0" w:type="dxa"/>
                    <w:left w:w="0" w:type="dxa"/>
                    <w:bottom w:w="0" w:type="dxa"/>
                    <w:right w:w="0" w:type="dxa"/>
                  </w:tcMar>
                  <w:vAlign w:val="center"/>
                </w:tcPr>
                <w:p>
                  <w:pPr>
                    <w:jc w:val="center"/>
                    <w:rPr>
                      <w:bCs/>
                      <w:szCs w:val="21"/>
                    </w:rPr>
                  </w:pPr>
                  <w:r>
                    <w:rPr>
                      <w:bCs/>
                      <w:szCs w:val="21"/>
                    </w:rPr>
                    <w:t>合计</w:t>
                  </w:r>
                </w:p>
              </w:tc>
              <w:tc>
                <w:tcPr>
                  <w:tcW w:w="3118" w:type="dxa"/>
                  <w:tcBorders>
                    <w:bottom w:val="single" w:color="auto" w:sz="12" w:space="0"/>
                  </w:tcBorders>
                  <w:tcMar>
                    <w:top w:w="0" w:type="dxa"/>
                    <w:left w:w="0" w:type="dxa"/>
                    <w:bottom w:w="0" w:type="dxa"/>
                    <w:right w:w="0" w:type="dxa"/>
                  </w:tcMar>
                  <w:vAlign w:val="center"/>
                </w:tcPr>
                <w:p>
                  <w:pPr>
                    <w:jc w:val="center"/>
                    <w:rPr>
                      <w:bCs/>
                      <w:szCs w:val="21"/>
                    </w:rPr>
                  </w:pPr>
                  <w:r>
                    <w:rPr>
                      <w:rFonts w:hint="eastAsia"/>
                      <w:bCs/>
                      <w:szCs w:val="21"/>
                    </w:rPr>
                    <w:t>/</w:t>
                  </w:r>
                </w:p>
              </w:tc>
              <w:tc>
                <w:tcPr>
                  <w:tcW w:w="992" w:type="dxa"/>
                  <w:tcBorders>
                    <w:bottom w:val="single" w:color="auto" w:sz="12" w:space="0"/>
                    <w:right w:val="single" w:color="auto" w:sz="4" w:space="0"/>
                  </w:tcBorders>
                  <w:tcMar>
                    <w:top w:w="0" w:type="dxa"/>
                    <w:left w:w="0" w:type="dxa"/>
                    <w:bottom w:w="0" w:type="dxa"/>
                    <w:right w:w="0" w:type="dxa"/>
                  </w:tcMar>
                  <w:vAlign w:val="center"/>
                </w:tcPr>
                <w:p>
                  <w:pPr>
                    <w:jc w:val="center"/>
                    <w:rPr>
                      <w:bCs/>
                      <w:szCs w:val="21"/>
                    </w:rPr>
                  </w:pPr>
                  <w:r>
                    <w:rPr>
                      <w:rFonts w:hint="eastAsia"/>
                      <w:bCs/>
                      <w:szCs w:val="21"/>
                    </w:rPr>
                    <w:t>/</w:t>
                  </w:r>
                </w:p>
              </w:tc>
              <w:tc>
                <w:tcPr>
                  <w:tcW w:w="1558" w:type="dxa"/>
                  <w:tcBorders>
                    <w:top w:val="single" w:color="auto" w:sz="4" w:space="0"/>
                    <w:left w:val="single" w:color="auto" w:sz="4" w:space="0"/>
                    <w:bottom w:val="single" w:color="auto" w:sz="12" w:space="0"/>
                    <w:right w:val="single" w:color="auto" w:sz="12" w:space="0"/>
                  </w:tcBorders>
                  <w:tcMar>
                    <w:top w:w="0" w:type="dxa"/>
                    <w:left w:w="0" w:type="dxa"/>
                    <w:bottom w:w="0" w:type="dxa"/>
                    <w:right w:w="0" w:type="dxa"/>
                  </w:tcMar>
                  <w:vAlign w:val="center"/>
                </w:tcPr>
                <w:p>
                  <w:pPr>
                    <w:adjustRightInd w:val="0"/>
                    <w:snapToGrid w:val="0"/>
                    <w:jc w:val="center"/>
                    <w:rPr>
                      <w:bCs/>
                      <w:szCs w:val="21"/>
                    </w:rPr>
                  </w:pPr>
                  <w:r>
                    <w:rPr>
                      <w:rFonts w:hint="eastAsia"/>
                      <w:bCs/>
                      <w:szCs w:val="21"/>
                    </w:rPr>
                    <w:t>25</w:t>
                  </w:r>
                </w:p>
              </w:tc>
            </w:tr>
          </w:tbl>
          <w:p>
            <w:pPr>
              <w:pStyle w:val="2"/>
              <w:spacing w:line="360" w:lineRule="auto"/>
              <w:ind w:left="0" w:leftChars="0" w:firstLine="0" w:firstLineChars="0"/>
              <w:jc w:val="left"/>
              <w:rPr>
                <w:b/>
              </w:rPr>
            </w:pPr>
            <w:r>
              <w:rPr>
                <w:rFonts w:hint="eastAsia"/>
                <w:b/>
              </w:rPr>
              <w:t>六、污染物排放清单</w:t>
            </w:r>
          </w:p>
          <w:p>
            <w:pPr>
              <w:pStyle w:val="2"/>
              <w:spacing w:line="360" w:lineRule="auto"/>
              <w:ind w:left="0" w:leftChars="0" w:firstLine="432" w:firstLineChars="180"/>
              <w:jc w:val="left"/>
            </w:pPr>
            <w:r>
              <w:rPr>
                <w:rFonts w:hint="eastAsia"/>
              </w:rPr>
              <w:t>本项目运营期污染物排放清单见表23。</w:t>
            </w:r>
          </w:p>
          <w:p>
            <w:pPr>
              <w:spacing w:line="360" w:lineRule="auto"/>
              <w:jc w:val="center"/>
              <w:outlineLvl w:val="4"/>
              <w:rPr>
                <w:rFonts w:eastAsia="黑体"/>
                <w:sz w:val="24"/>
                <w:szCs w:val="21"/>
              </w:rPr>
            </w:pPr>
            <w:r>
              <w:rPr>
                <w:rFonts w:hint="eastAsia" w:eastAsia="黑体"/>
                <w:sz w:val="24"/>
                <w:szCs w:val="21"/>
              </w:rPr>
              <w:t>表23 本项目运营期污染物排放清单</w:t>
            </w:r>
          </w:p>
          <w:tbl>
            <w:tblPr>
              <w:tblStyle w:val="25"/>
              <w:tblW w:w="880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049"/>
              <w:gridCol w:w="1843"/>
              <w:gridCol w:w="1134"/>
              <w:gridCol w:w="1276"/>
              <w:gridCol w:w="29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529" w:type="dxa"/>
                  <w:vAlign w:val="center"/>
                </w:tcPr>
                <w:p>
                  <w:pPr>
                    <w:adjustRightInd w:val="0"/>
                    <w:snapToGrid w:val="0"/>
                    <w:jc w:val="center"/>
                    <w:rPr>
                      <w:szCs w:val="21"/>
                    </w:rPr>
                  </w:pPr>
                  <w:r>
                    <w:rPr>
                      <w:rFonts w:hint="eastAsia"/>
                      <w:szCs w:val="21"/>
                    </w:rPr>
                    <w:t>类别</w:t>
                  </w:r>
                </w:p>
              </w:tc>
              <w:tc>
                <w:tcPr>
                  <w:tcW w:w="1049" w:type="dxa"/>
                  <w:vAlign w:val="center"/>
                </w:tcPr>
                <w:p>
                  <w:pPr>
                    <w:adjustRightInd w:val="0"/>
                    <w:snapToGrid w:val="0"/>
                    <w:jc w:val="center"/>
                    <w:rPr>
                      <w:szCs w:val="21"/>
                    </w:rPr>
                  </w:pPr>
                  <w:r>
                    <w:rPr>
                      <w:rFonts w:hint="eastAsia"/>
                      <w:szCs w:val="21"/>
                    </w:rPr>
                    <w:t>污染物</w:t>
                  </w:r>
                </w:p>
                <w:p>
                  <w:pPr>
                    <w:adjustRightInd w:val="0"/>
                    <w:snapToGrid w:val="0"/>
                    <w:jc w:val="center"/>
                    <w:rPr>
                      <w:szCs w:val="21"/>
                    </w:rPr>
                  </w:pPr>
                  <w:r>
                    <w:rPr>
                      <w:rFonts w:hint="eastAsia"/>
                      <w:szCs w:val="21"/>
                    </w:rPr>
                    <w:t>名称</w:t>
                  </w:r>
                </w:p>
              </w:tc>
              <w:tc>
                <w:tcPr>
                  <w:tcW w:w="1843" w:type="dxa"/>
                  <w:vAlign w:val="center"/>
                </w:tcPr>
                <w:p>
                  <w:pPr>
                    <w:adjustRightInd w:val="0"/>
                    <w:snapToGrid w:val="0"/>
                    <w:jc w:val="center"/>
                    <w:rPr>
                      <w:szCs w:val="21"/>
                    </w:rPr>
                  </w:pPr>
                  <w:r>
                    <w:rPr>
                      <w:rFonts w:hint="eastAsia"/>
                      <w:szCs w:val="21"/>
                    </w:rPr>
                    <w:t>环保措施</w:t>
                  </w:r>
                </w:p>
              </w:tc>
              <w:tc>
                <w:tcPr>
                  <w:tcW w:w="1134" w:type="dxa"/>
                  <w:tcBorders>
                    <w:top w:val="single" w:color="auto" w:sz="12" w:space="0"/>
                    <w:bottom w:val="single" w:color="auto" w:sz="4" w:space="0"/>
                    <w:right w:val="single" w:color="auto" w:sz="4" w:space="0"/>
                  </w:tcBorders>
                  <w:vAlign w:val="center"/>
                </w:tcPr>
                <w:p>
                  <w:pPr>
                    <w:adjustRightInd w:val="0"/>
                    <w:snapToGrid w:val="0"/>
                    <w:jc w:val="center"/>
                    <w:rPr>
                      <w:szCs w:val="21"/>
                    </w:rPr>
                  </w:pPr>
                  <w:r>
                    <w:rPr>
                      <w:rFonts w:hint="eastAsia"/>
                      <w:szCs w:val="21"/>
                    </w:rPr>
                    <w:t>排放量</w:t>
                  </w:r>
                </w:p>
                <w:p>
                  <w:pPr>
                    <w:adjustRightInd w:val="0"/>
                    <w:snapToGrid w:val="0"/>
                    <w:jc w:val="center"/>
                    <w:rPr>
                      <w:szCs w:val="21"/>
                    </w:rPr>
                  </w:pPr>
                  <w:r>
                    <w:rPr>
                      <w:rFonts w:hint="eastAsia"/>
                      <w:szCs w:val="21"/>
                    </w:rPr>
                    <w:t>（</w:t>
                  </w:r>
                  <w:r>
                    <w:rPr>
                      <w:rFonts w:hint="eastAsia"/>
                    </w:rPr>
                    <w:t>t/a）</w:t>
                  </w:r>
                </w:p>
              </w:tc>
              <w:tc>
                <w:tcPr>
                  <w:tcW w:w="1276" w:type="dxa"/>
                  <w:tcBorders>
                    <w:right w:val="single" w:color="auto" w:sz="4" w:space="0"/>
                  </w:tcBorders>
                  <w:vAlign w:val="center"/>
                </w:tcPr>
                <w:p>
                  <w:pPr>
                    <w:adjustRightInd w:val="0"/>
                    <w:snapToGrid w:val="0"/>
                    <w:jc w:val="center"/>
                    <w:rPr>
                      <w:szCs w:val="21"/>
                    </w:rPr>
                  </w:pPr>
                  <w:r>
                    <w:rPr>
                      <w:rFonts w:hint="eastAsia"/>
                      <w:szCs w:val="21"/>
                    </w:rPr>
                    <w:t>排放浓度（</w:t>
                  </w:r>
                  <w:r>
                    <w:rPr>
                      <w:rFonts w:hint="eastAsia"/>
                    </w:rPr>
                    <w:t>mg/m</w:t>
                  </w:r>
                  <w:r>
                    <w:rPr>
                      <w:rFonts w:hint="eastAsia"/>
                      <w:vertAlign w:val="superscript"/>
                    </w:rPr>
                    <w:t>3</w:t>
                  </w:r>
                  <w:r>
                    <w:rPr>
                      <w:rFonts w:hint="eastAsia"/>
                    </w:rPr>
                    <w:t>）</w:t>
                  </w:r>
                </w:p>
              </w:tc>
              <w:tc>
                <w:tcPr>
                  <w:tcW w:w="2977" w:type="dxa"/>
                  <w:tcBorders>
                    <w:left w:val="single" w:color="auto" w:sz="4" w:space="0"/>
                  </w:tcBorders>
                  <w:vAlign w:val="center"/>
                </w:tcPr>
                <w:p>
                  <w:pPr>
                    <w:adjustRightInd w:val="0"/>
                    <w:snapToGrid w:val="0"/>
                    <w:jc w:val="center"/>
                    <w:rPr>
                      <w:szCs w:val="21"/>
                    </w:rPr>
                  </w:pPr>
                  <w:r>
                    <w:rPr>
                      <w:rFonts w:hint="eastAsia"/>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529" w:type="dxa"/>
                  <w:vMerge w:val="restart"/>
                  <w:vAlign w:val="center"/>
                </w:tcPr>
                <w:p>
                  <w:pPr>
                    <w:adjustRightInd w:val="0"/>
                    <w:snapToGrid w:val="0"/>
                    <w:jc w:val="center"/>
                    <w:rPr>
                      <w:szCs w:val="21"/>
                    </w:rPr>
                  </w:pPr>
                  <w:r>
                    <w:rPr>
                      <w:rFonts w:hint="eastAsia"/>
                      <w:szCs w:val="21"/>
                    </w:rPr>
                    <w:t>废气</w:t>
                  </w:r>
                </w:p>
              </w:tc>
              <w:tc>
                <w:tcPr>
                  <w:tcW w:w="1049" w:type="dxa"/>
                  <w:vAlign w:val="center"/>
                </w:tcPr>
                <w:p>
                  <w:pPr>
                    <w:adjustRightInd w:val="0"/>
                    <w:snapToGrid w:val="0"/>
                    <w:jc w:val="center"/>
                    <w:rPr>
                      <w:szCs w:val="21"/>
                    </w:rPr>
                  </w:pPr>
                  <w:r>
                    <w:rPr>
                      <w:rFonts w:hint="eastAsia"/>
                      <w:szCs w:val="21"/>
                    </w:rPr>
                    <w:t>颗粒物</w:t>
                  </w:r>
                </w:p>
              </w:tc>
              <w:tc>
                <w:tcPr>
                  <w:tcW w:w="1843" w:type="dxa"/>
                  <w:vMerge w:val="restart"/>
                  <w:vAlign w:val="center"/>
                </w:tcPr>
                <w:p>
                  <w:pPr>
                    <w:adjustRightInd w:val="0"/>
                    <w:snapToGrid w:val="0"/>
                    <w:jc w:val="center"/>
                    <w:rPr>
                      <w:szCs w:val="21"/>
                    </w:rPr>
                  </w:pPr>
                  <w:r>
                    <w:rPr>
                      <w:rFonts w:hint="eastAsia"/>
                      <w:szCs w:val="21"/>
                    </w:rPr>
                    <w:t>超低氮燃烧器、12m排气筒</w:t>
                  </w:r>
                </w:p>
              </w:tc>
              <w:tc>
                <w:tcPr>
                  <w:tcW w:w="1134" w:type="dxa"/>
                  <w:tcBorders>
                    <w:top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0.0196</w:t>
                  </w:r>
                </w:p>
              </w:tc>
              <w:tc>
                <w:tcPr>
                  <w:tcW w:w="1276" w:type="dxa"/>
                  <w:tcBorders>
                    <w:right w:val="single" w:color="auto" w:sz="4" w:space="0"/>
                  </w:tcBorders>
                  <w:vAlign w:val="center"/>
                </w:tcPr>
                <w:p>
                  <w:pPr>
                    <w:adjustRightInd w:val="0"/>
                    <w:snapToGrid w:val="0"/>
                    <w:jc w:val="center"/>
                    <w:rPr>
                      <w:szCs w:val="21"/>
                    </w:rPr>
                  </w:pPr>
                  <w:r>
                    <w:rPr>
                      <w:rFonts w:hint="eastAsia"/>
                      <w:szCs w:val="21"/>
                    </w:rPr>
                    <w:t>3.2</w:t>
                  </w:r>
                </w:p>
              </w:tc>
              <w:tc>
                <w:tcPr>
                  <w:tcW w:w="2977" w:type="dxa"/>
                  <w:vMerge w:val="restart"/>
                  <w:tcBorders>
                    <w:left w:val="single" w:color="auto" w:sz="4" w:space="0"/>
                  </w:tcBorders>
                  <w:vAlign w:val="center"/>
                </w:tcPr>
                <w:p>
                  <w:pPr>
                    <w:adjustRightInd w:val="0"/>
                    <w:snapToGrid w:val="0"/>
                    <w:jc w:val="center"/>
                    <w:rPr>
                      <w:szCs w:val="21"/>
                    </w:rPr>
                  </w:pPr>
                  <w:r>
                    <w:rPr>
                      <w:rFonts w:hint="eastAsia"/>
                      <w:szCs w:val="21"/>
                    </w:rPr>
                    <w:t>《锅炉大气污染物排放标准》（DB61/1226-2018）中燃气锅炉大气污染物排放浓度限值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529" w:type="dxa"/>
                  <w:vMerge w:val="continue"/>
                  <w:vAlign w:val="center"/>
                </w:tcPr>
                <w:p>
                  <w:pPr>
                    <w:adjustRightInd w:val="0"/>
                    <w:snapToGrid w:val="0"/>
                    <w:jc w:val="center"/>
                    <w:rPr>
                      <w:szCs w:val="21"/>
                    </w:rPr>
                  </w:pPr>
                </w:p>
              </w:tc>
              <w:tc>
                <w:tcPr>
                  <w:tcW w:w="1049" w:type="dxa"/>
                  <w:vAlign w:val="center"/>
                </w:tcPr>
                <w:p>
                  <w:pPr>
                    <w:adjustRightInd w:val="0"/>
                    <w:snapToGrid w:val="0"/>
                    <w:jc w:val="center"/>
                    <w:rPr>
                      <w:szCs w:val="21"/>
                    </w:rPr>
                  </w:pPr>
                  <w:r>
                    <w:rPr>
                      <w:rFonts w:hint="eastAsia"/>
                      <w:szCs w:val="21"/>
                    </w:rPr>
                    <w:t>S</w:t>
                  </w:r>
                  <w:r>
                    <w:rPr>
                      <w:szCs w:val="21"/>
                    </w:rPr>
                    <w:t>O</w:t>
                  </w:r>
                  <w:r>
                    <w:rPr>
                      <w:szCs w:val="21"/>
                      <w:vertAlign w:val="subscript"/>
                    </w:rPr>
                    <w:t>2</w:t>
                  </w:r>
                </w:p>
              </w:tc>
              <w:tc>
                <w:tcPr>
                  <w:tcW w:w="1843" w:type="dxa"/>
                  <w:vMerge w:val="continue"/>
                  <w:vAlign w:val="center"/>
                </w:tcPr>
                <w:p>
                  <w:pPr>
                    <w:adjustRightInd w:val="0"/>
                    <w:snapToGrid w:val="0"/>
                    <w:jc w:val="center"/>
                    <w:rPr>
                      <w:szCs w:val="21"/>
                    </w:rPr>
                  </w:pPr>
                </w:p>
              </w:tc>
              <w:tc>
                <w:tcPr>
                  <w:tcW w:w="1134" w:type="dxa"/>
                  <w:tcBorders>
                    <w:top w:val="single" w:color="auto" w:sz="4" w:space="0"/>
                    <w:bottom w:val="single" w:color="auto" w:sz="4" w:space="0"/>
                    <w:right w:val="single" w:color="auto" w:sz="4" w:space="0"/>
                  </w:tcBorders>
                  <w:vAlign w:val="center"/>
                </w:tcPr>
                <w:p>
                  <w:pPr>
                    <w:adjustRightInd w:val="0"/>
                    <w:snapToGrid w:val="0"/>
                    <w:jc w:val="center"/>
                    <w:rPr>
                      <w:szCs w:val="21"/>
                    </w:rPr>
                  </w:pPr>
                  <w:r>
                    <w:rPr>
                      <w:rFonts w:hint="eastAsia"/>
                    </w:rPr>
                    <w:t>0.0</w:t>
                  </w:r>
                  <w:r>
                    <w:t>18</w:t>
                  </w:r>
                </w:p>
              </w:tc>
              <w:tc>
                <w:tcPr>
                  <w:tcW w:w="1276" w:type="dxa"/>
                  <w:tcBorders>
                    <w:right w:val="single" w:color="auto" w:sz="4" w:space="0"/>
                  </w:tcBorders>
                  <w:vAlign w:val="center"/>
                </w:tcPr>
                <w:p>
                  <w:pPr>
                    <w:adjustRightInd w:val="0"/>
                    <w:snapToGrid w:val="0"/>
                    <w:jc w:val="center"/>
                    <w:rPr>
                      <w:szCs w:val="21"/>
                    </w:rPr>
                  </w:pPr>
                  <w:r>
                    <w:t>2.94</w:t>
                  </w:r>
                </w:p>
              </w:tc>
              <w:tc>
                <w:tcPr>
                  <w:tcW w:w="2977" w:type="dxa"/>
                  <w:vMerge w:val="continue"/>
                  <w:tcBorders>
                    <w:left w:val="single" w:color="auto" w:sz="4" w:space="0"/>
                  </w:tcBorders>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529" w:type="dxa"/>
                  <w:vMerge w:val="continue"/>
                  <w:vAlign w:val="center"/>
                </w:tcPr>
                <w:p>
                  <w:pPr>
                    <w:adjustRightInd w:val="0"/>
                    <w:snapToGrid w:val="0"/>
                    <w:jc w:val="center"/>
                    <w:rPr>
                      <w:szCs w:val="21"/>
                    </w:rPr>
                  </w:pPr>
                </w:p>
              </w:tc>
              <w:tc>
                <w:tcPr>
                  <w:tcW w:w="1049" w:type="dxa"/>
                  <w:vAlign w:val="center"/>
                </w:tcPr>
                <w:p>
                  <w:pPr>
                    <w:adjustRightInd w:val="0"/>
                    <w:snapToGrid w:val="0"/>
                    <w:jc w:val="center"/>
                    <w:rPr>
                      <w:szCs w:val="21"/>
                    </w:rPr>
                  </w:pPr>
                  <w:r>
                    <w:rPr>
                      <w:szCs w:val="21"/>
                    </w:rPr>
                    <w:t>NO</w:t>
                  </w:r>
                  <w:r>
                    <w:rPr>
                      <w:szCs w:val="21"/>
                      <w:vertAlign w:val="subscript"/>
                    </w:rPr>
                    <w:t>X</w:t>
                  </w:r>
                </w:p>
              </w:tc>
              <w:tc>
                <w:tcPr>
                  <w:tcW w:w="1843" w:type="dxa"/>
                  <w:vMerge w:val="continue"/>
                  <w:vAlign w:val="center"/>
                </w:tcPr>
                <w:p>
                  <w:pPr>
                    <w:adjustRightInd w:val="0"/>
                    <w:snapToGrid w:val="0"/>
                    <w:jc w:val="center"/>
                    <w:rPr>
                      <w:szCs w:val="21"/>
                    </w:rPr>
                  </w:pPr>
                </w:p>
              </w:tc>
              <w:tc>
                <w:tcPr>
                  <w:tcW w:w="1134" w:type="dxa"/>
                  <w:tcBorders>
                    <w:top w:val="single" w:color="auto" w:sz="4" w:space="0"/>
                    <w:bottom w:val="single" w:color="auto" w:sz="4" w:space="0"/>
                    <w:right w:val="single" w:color="auto" w:sz="4" w:space="0"/>
                  </w:tcBorders>
                  <w:vAlign w:val="center"/>
                </w:tcPr>
                <w:p>
                  <w:pPr>
                    <w:adjustRightInd w:val="0"/>
                    <w:snapToGrid w:val="0"/>
                    <w:jc w:val="center"/>
                    <w:rPr>
                      <w:szCs w:val="21"/>
                    </w:rPr>
                  </w:pPr>
                  <w:r>
                    <w:rPr>
                      <w:rFonts w:hint="eastAsia"/>
                    </w:rPr>
                    <w:t>0.1</w:t>
                  </w:r>
                  <w:r>
                    <w:t>8</w:t>
                  </w:r>
                </w:p>
              </w:tc>
              <w:tc>
                <w:tcPr>
                  <w:tcW w:w="1276" w:type="dxa"/>
                  <w:tcBorders>
                    <w:right w:val="single" w:color="auto" w:sz="4" w:space="0"/>
                  </w:tcBorders>
                  <w:vAlign w:val="center"/>
                </w:tcPr>
                <w:p>
                  <w:pPr>
                    <w:adjustRightInd w:val="0"/>
                    <w:snapToGrid w:val="0"/>
                    <w:jc w:val="center"/>
                    <w:rPr>
                      <w:szCs w:val="21"/>
                    </w:rPr>
                  </w:pPr>
                  <w:r>
                    <w:t>30</w:t>
                  </w:r>
                </w:p>
              </w:tc>
              <w:tc>
                <w:tcPr>
                  <w:tcW w:w="2977" w:type="dxa"/>
                  <w:vMerge w:val="continue"/>
                  <w:tcBorders>
                    <w:left w:val="single" w:color="auto" w:sz="4" w:space="0"/>
                  </w:tcBorders>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529" w:type="dxa"/>
                  <w:vAlign w:val="center"/>
                </w:tcPr>
                <w:p>
                  <w:pPr>
                    <w:adjustRightInd w:val="0"/>
                    <w:snapToGrid w:val="0"/>
                    <w:jc w:val="center"/>
                    <w:rPr>
                      <w:szCs w:val="21"/>
                    </w:rPr>
                  </w:pPr>
                  <w:r>
                    <w:rPr>
                      <w:rFonts w:hint="eastAsia"/>
                      <w:szCs w:val="21"/>
                    </w:rPr>
                    <w:t>噪声</w:t>
                  </w:r>
                </w:p>
              </w:tc>
              <w:tc>
                <w:tcPr>
                  <w:tcW w:w="1049" w:type="dxa"/>
                  <w:vAlign w:val="center"/>
                </w:tcPr>
                <w:p>
                  <w:pPr>
                    <w:adjustRightInd w:val="0"/>
                    <w:snapToGrid w:val="0"/>
                    <w:jc w:val="center"/>
                    <w:rPr>
                      <w:szCs w:val="21"/>
                    </w:rPr>
                  </w:pPr>
                  <w:r>
                    <w:rPr>
                      <w:rFonts w:hint="eastAsia"/>
                      <w:szCs w:val="21"/>
                    </w:rPr>
                    <w:t>风机、泵等</w:t>
                  </w:r>
                </w:p>
              </w:tc>
              <w:tc>
                <w:tcPr>
                  <w:tcW w:w="1843" w:type="dxa"/>
                  <w:vAlign w:val="center"/>
                </w:tcPr>
                <w:p>
                  <w:pPr>
                    <w:adjustRightInd w:val="0"/>
                    <w:snapToGrid w:val="0"/>
                    <w:jc w:val="center"/>
                    <w:rPr>
                      <w:szCs w:val="21"/>
                    </w:rPr>
                  </w:pPr>
                  <w:r>
                    <w:rPr>
                      <w:rFonts w:hint="eastAsia"/>
                      <w:bCs/>
                      <w:szCs w:val="21"/>
                    </w:rPr>
                    <w:t>基础减震、隔声、消声等措施</w:t>
                  </w:r>
                </w:p>
              </w:tc>
              <w:tc>
                <w:tcPr>
                  <w:tcW w:w="1134" w:type="dxa"/>
                  <w:tcBorders>
                    <w:top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w:t>
                  </w:r>
                </w:p>
              </w:tc>
              <w:tc>
                <w:tcPr>
                  <w:tcW w:w="1276" w:type="dxa"/>
                  <w:tcBorders>
                    <w:right w:val="single" w:color="auto" w:sz="4" w:space="0"/>
                  </w:tcBorders>
                  <w:vAlign w:val="center"/>
                </w:tcPr>
                <w:p>
                  <w:pPr>
                    <w:adjustRightInd w:val="0"/>
                    <w:snapToGrid w:val="0"/>
                    <w:jc w:val="center"/>
                    <w:rPr>
                      <w:szCs w:val="21"/>
                    </w:rPr>
                  </w:pPr>
                  <w:r>
                    <w:rPr>
                      <w:szCs w:val="21"/>
                    </w:rPr>
                    <w:t>/</w:t>
                  </w:r>
                </w:p>
              </w:tc>
              <w:tc>
                <w:tcPr>
                  <w:tcW w:w="2977" w:type="dxa"/>
                  <w:tcBorders>
                    <w:left w:val="single" w:color="auto" w:sz="4" w:space="0"/>
                  </w:tcBorders>
                  <w:vAlign w:val="center"/>
                </w:tcPr>
                <w:p>
                  <w:pPr>
                    <w:adjustRightInd w:val="0"/>
                    <w:snapToGrid w:val="0"/>
                    <w:jc w:val="center"/>
                    <w:rPr>
                      <w:szCs w:val="21"/>
                    </w:rPr>
                  </w:pPr>
                  <w:r>
                    <w:rPr>
                      <w:rFonts w:hint="eastAsia"/>
                      <w:szCs w:val="21"/>
                    </w:rPr>
                    <w:t>《工业企业厂界环境噪声排放标准》（GB12348-2008）2类</w:t>
                  </w:r>
                </w:p>
                <w:p>
                  <w:pPr>
                    <w:adjustRightInd w:val="0"/>
                    <w:snapToGrid w:val="0"/>
                    <w:jc w:val="center"/>
                    <w:rPr>
                      <w:szCs w:val="21"/>
                    </w:rPr>
                  </w:pPr>
                  <w:r>
                    <w:rPr>
                      <w:rFonts w:hint="eastAsia"/>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529" w:type="dxa"/>
                  <w:vAlign w:val="center"/>
                </w:tcPr>
                <w:p>
                  <w:pPr>
                    <w:adjustRightInd w:val="0"/>
                    <w:snapToGrid w:val="0"/>
                    <w:jc w:val="center"/>
                    <w:rPr>
                      <w:szCs w:val="21"/>
                    </w:rPr>
                  </w:pPr>
                  <w:r>
                    <w:rPr>
                      <w:rFonts w:hint="eastAsia"/>
                      <w:szCs w:val="21"/>
                    </w:rPr>
                    <w:t>固废</w:t>
                  </w:r>
                </w:p>
              </w:tc>
              <w:tc>
                <w:tcPr>
                  <w:tcW w:w="1049" w:type="dxa"/>
                  <w:vAlign w:val="center"/>
                </w:tcPr>
                <w:p>
                  <w:pPr>
                    <w:adjustRightInd w:val="0"/>
                    <w:snapToGrid w:val="0"/>
                    <w:jc w:val="center"/>
                    <w:rPr>
                      <w:szCs w:val="21"/>
                    </w:rPr>
                  </w:pPr>
                  <w:r>
                    <w:rPr>
                      <w:rFonts w:hint="eastAsia"/>
                      <w:szCs w:val="21"/>
                    </w:rPr>
                    <w:t>废离子交换树脂</w:t>
                  </w:r>
                </w:p>
              </w:tc>
              <w:tc>
                <w:tcPr>
                  <w:tcW w:w="1843" w:type="dxa"/>
                  <w:vAlign w:val="center"/>
                </w:tcPr>
                <w:p>
                  <w:pPr>
                    <w:adjustRightInd w:val="0"/>
                    <w:snapToGrid w:val="0"/>
                    <w:jc w:val="center"/>
                    <w:rPr>
                      <w:szCs w:val="21"/>
                    </w:rPr>
                  </w:pPr>
                  <w:r>
                    <w:rPr>
                      <w:rFonts w:hint="eastAsia"/>
                      <w:szCs w:val="21"/>
                    </w:rPr>
                    <w:t>交有资质单位处理</w:t>
                  </w:r>
                </w:p>
              </w:tc>
              <w:tc>
                <w:tcPr>
                  <w:tcW w:w="1134" w:type="dxa"/>
                  <w:tcBorders>
                    <w:top w:val="single" w:color="auto" w:sz="4" w:space="0"/>
                    <w:bottom w:val="single" w:color="auto" w:sz="12" w:space="0"/>
                    <w:right w:val="single" w:color="auto" w:sz="4" w:space="0"/>
                  </w:tcBorders>
                  <w:vAlign w:val="center"/>
                </w:tcPr>
                <w:p>
                  <w:pPr>
                    <w:adjustRightInd w:val="0"/>
                    <w:snapToGrid w:val="0"/>
                    <w:jc w:val="center"/>
                    <w:rPr>
                      <w:szCs w:val="21"/>
                    </w:rPr>
                  </w:pPr>
                  <w:r>
                    <w:rPr>
                      <w:rFonts w:hint="eastAsia"/>
                      <w:szCs w:val="21"/>
                    </w:rPr>
                    <w:t>/</w:t>
                  </w:r>
                </w:p>
              </w:tc>
              <w:tc>
                <w:tcPr>
                  <w:tcW w:w="1276" w:type="dxa"/>
                  <w:tcBorders>
                    <w:right w:val="single" w:color="auto" w:sz="4" w:space="0"/>
                  </w:tcBorders>
                  <w:vAlign w:val="center"/>
                </w:tcPr>
                <w:p>
                  <w:pPr>
                    <w:adjustRightInd w:val="0"/>
                    <w:snapToGrid w:val="0"/>
                    <w:jc w:val="center"/>
                    <w:rPr>
                      <w:szCs w:val="21"/>
                    </w:rPr>
                  </w:pPr>
                  <w:r>
                    <w:rPr>
                      <w:szCs w:val="21"/>
                    </w:rPr>
                    <w:t>/</w:t>
                  </w:r>
                </w:p>
              </w:tc>
              <w:tc>
                <w:tcPr>
                  <w:tcW w:w="2977" w:type="dxa"/>
                  <w:tcBorders>
                    <w:left w:val="single" w:color="auto" w:sz="4" w:space="0"/>
                  </w:tcBorders>
                  <w:vAlign w:val="center"/>
                </w:tcPr>
                <w:p>
                  <w:pPr>
                    <w:adjustRightInd w:val="0"/>
                    <w:snapToGrid w:val="0"/>
                    <w:jc w:val="center"/>
                    <w:rPr>
                      <w:szCs w:val="21"/>
                    </w:rPr>
                  </w:pPr>
                  <w:r>
                    <w:rPr>
                      <w:rFonts w:hint="eastAsia"/>
                      <w:szCs w:val="21"/>
                    </w:rPr>
                    <w:t>《危险废物贮存污染控制标准》（GB18579—2001）及其修改单中的相关规定</w:t>
                  </w:r>
                </w:p>
              </w:tc>
            </w:tr>
          </w:tbl>
          <w:p>
            <w:pPr>
              <w:pStyle w:val="2"/>
              <w:spacing w:line="360" w:lineRule="auto"/>
              <w:jc w:val="center"/>
            </w:pPr>
          </w:p>
        </w:tc>
      </w:tr>
    </w:tbl>
    <w:p>
      <w:pPr>
        <w:pStyle w:val="3"/>
        <w:spacing w:before="0" w:after="0" w:line="240" w:lineRule="auto"/>
        <w:rPr>
          <w:rFonts w:ascii="Times New Roman"/>
          <w:sz w:val="28"/>
          <w:szCs w:val="28"/>
        </w:rPr>
        <w:sectPr>
          <w:footerReference r:id="rId5" w:type="default"/>
          <w:pgSz w:w="11906" w:h="16838"/>
          <w:pgMar w:top="1418" w:right="1418" w:bottom="1418" w:left="1418" w:header="851" w:footer="992" w:gutter="0"/>
          <w:cols w:space="720" w:num="1"/>
          <w:titlePg/>
          <w:docGrid w:type="lines" w:linePitch="312" w:charSpace="0"/>
        </w:sectPr>
      </w:pPr>
    </w:p>
    <w:p>
      <w:pPr>
        <w:pStyle w:val="3"/>
        <w:spacing w:before="0" w:after="0" w:line="240" w:lineRule="auto"/>
        <w:rPr>
          <w:rFonts w:ascii="Times New Roman"/>
          <w:b w:val="0"/>
          <w:sz w:val="28"/>
          <w:szCs w:val="28"/>
        </w:rPr>
      </w:pPr>
      <w:bookmarkStart w:id="34" w:name="_Toc5113214"/>
      <w:bookmarkStart w:id="35" w:name="_Toc25006"/>
      <w:r>
        <w:rPr>
          <w:rFonts w:ascii="Times New Roman"/>
          <w:sz w:val="28"/>
          <w:szCs w:val="28"/>
        </w:rPr>
        <w:t>建设项目拟采取的防治措施及预期治理效果</w:t>
      </w:r>
      <w:bookmarkEnd w:id="34"/>
      <w:bookmarkEnd w:id="35"/>
    </w:p>
    <w:tbl>
      <w:tblPr>
        <w:tblStyle w:val="25"/>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1418"/>
        <w:gridCol w:w="26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trPr>
        <w:tc>
          <w:tcPr>
            <w:tcW w:w="1384" w:type="dxa"/>
            <w:shd w:val="clear" w:color="auto" w:fill="D7D7D7"/>
            <w:vAlign w:val="center"/>
          </w:tcPr>
          <w:p>
            <w:pPr>
              <w:spacing w:line="400" w:lineRule="exact"/>
              <w:jc w:val="right"/>
              <w:rPr>
                <w:b/>
                <w:szCs w:val="21"/>
              </w:rPr>
            </w:pPr>
            <w:r>
              <w:rPr>
                <w:b/>
                <w:szCs w:val="21"/>
              </w:rPr>
              <w:pict>
                <v:line id="直接连接符 4" o:spid="_x0000_s1026" o:spt="20" style="position:absolute;left:0pt;margin-left:-3.65pt;margin-top:1pt;height:38.5pt;width:50.15pt;z-index:25165824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">
                  <v:path arrowok="t"/>
                  <v:fill focussize="0,0"/>
                  <v:stroke weight="0.5pt"/>
                  <v:imagedata o:title=""/>
                  <o:lock v:ext="edit"/>
                </v:line>
              </w:pict>
            </w:r>
            <w:r>
              <w:rPr>
                <w:b/>
                <w:szCs w:val="21"/>
              </w:rPr>
              <w:t>内容</w:t>
            </w:r>
          </w:p>
          <w:p>
            <w:pPr>
              <w:spacing w:line="400" w:lineRule="exact"/>
              <w:jc w:val="left"/>
              <w:rPr>
                <w:b/>
                <w:szCs w:val="21"/>
              </w:rPr>
            </w:pPr>
            <w:r>
              <w:rPr>
                <w:b/>
                <w:szCs w:val="21"/>
              </w:rPr>
              <w:t>类型</w:t>
            </w:r>
          </w:p>
        </w:tc>
        <w:tc>
          <w:tcPr>
            <w:tcW w:w="1559" w:type="dxa"/>
            <w:shd w:val="clear" w:color="auto" w:fill="D7D7D7"/>
            <w:vAlign w:val="center"/>
          </w:tcPr>
          <w:p>
            <w:pPr>
              <w:spacing w:line="400" w:lineRule="exact"/>
              <w:jc w:val="center"/>
              <w:rPr>
                <w:b/>
                <w:szCs w:val="21"/>
              </w:rPr>
            </w:pPr>
            <w:r>
              <w:rPr>
                <w:b/>
                <w:szCs w:val="21"/>
              </w:rPr>
              <w:t>排放源</w:t>
            </w:r>
          </w:p>
        </w:tc>
        <w:tc>
          <w:tcPr>
            <w:tcW w:w="1418" w:type="dxa"/>
            <w:shd w:val="clear" w:color="auto" w:fill="D7D7D7"/>
            <w:vAlign w:val="center"/>
          </w:tcPr>
          <w:p>
            <w:pPr>
              <w:spacing w:line="400" w:lineRule="exact"/>
              <w:jc w:val="center"/>
              <w:rPr>
                <w:b/>
                <w:szCs w:val="21"/>
              </w:rPr>
            </w:pPr>
            <w:r>
              <w:rPr>
                <w:b/>
                <w:szCs w:val="21"/>
              </w:rPr>
              <w:t>污染物名称</w:t>
            </w:r>
          </w:p>
        </w:tc>
        <w:tc>
          <w:tcPr>
            <w:tcW w:w="2693" w:type="dxa"/>
            <w:shd w:val="clear" w:color="auto" w:fill="D7D7D7"/>
            <w:vAlign w:val="center"/>
          </w:tcPr>
          <w:p>
            <w:pPr>
              <w:spacing w:line="400" w:lineRule="exact"/>
              <w:jc w:val="center"/>
              <w:rPr>
                <w:b/>
                <w:szCs w:val="21"/>
              </w:rPr>
            </w:pPr>
            <w:r>
              <w:rPr>
                <w:b/>
                <w:szCs w:val="21"/>
              </w:rPr>
              <w:t>防治措施</w:t>
            </w:r>
          </w:p>
        </w:tc>
        <w:tc>
          <w:tcPr>
            <w:tcW w:w="1559" w:type="dxa"/>
            <w:shd w:val="clear" w:color="auto" w:fill="D7D7D7"/>
            <w:vAlign w:val="center"/>
          </w:tcPr>
          <w:p>
            <w:pPr>
              <w:spacing w:line="400" w:lineRule="exact"/>
              <w:jc w:val="center"/>
              <w:rPr>
                <w:b/>
                <w:szCs w:val="21"/>
              </w:rPr>
            </w:pPr>
            <w:r>
              <w:rPr>
                <w:b/>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84" w:type="dxa"/>
            <w:vAlign w:val="center"/>
          </w:tcPr>
          <w:p>
            <w:pPr>
              <w:jc w:val="center"/>
              <w:rPr>
                <w:bCs/>
                <w:szCs w:val="21"/>
              </w:rPr>
            </w:pPr>
            <w:r>
              <w:rPr>
                <w:rFonts w:hint="eastAsia"/>
                <w:bCs/>
                <w:szCs w:val="21"/>
              </w:rPr>
              <w:t>大气污染物</w:t>
            </w:r>
          </w:p>
        </w:tc>
        <w:tc>
          <w:tcPr>
            <w:tcW w:w="1559" w:type="dxa"/>
            <w:vAlign w:val="center"/>
          </w:tcPr>
          <w:p>
            <w:pPr>
              <w:jc w:val="center"/>
              <w:rPr>
                <w:szCs w:val="21"/>
              </w:rPr>
            </w:pPr>
            <w:r>
              <w:rPr>
                <w:rFonts w:hint="eastAsia"/>
                <w:szCs w:val="21"/>
              </w:rPr>
              <w:t>锅炉房排气筒</w:t>
            </w:r>
          </w:p>
        </w:tc>
        <w:tc>
          <w:tcPr>
            <w:tcW w:w="1418" w:type="dxa"/>
            <w:vAlign w:val="center"/>
          </w:tcPr>
          <w:p>
            <w:pPr>
              <w:ind w:firstLine="8"/>
              <w:jc w:val="center"/>
              <w:rPr>
                <w:szCs w:val="21"/>
              </w:rPr>
            </w:pPr>
            <w:r>
              <w:rPr>
                <w:rFonts w:hint="eastAsia"/>
                <w:szCs w:val="21"/>
              </w:rPr>
              <w:t>颗粒物、SO</w:t>
            </w:r>
            <w:r>
              <w:rPr>
                <w:rFonts w:hint="eastAsia"/>
                <w:szCs w:val="21"/>
                <w:vertAlign w:val="subscript"/>
              </w:rPr>
              <w:t>2</w:t>
            </w:r>
            <w:r>
              <w:rPr>
                <w:rFonts w:hint="eastAsia"/>
                <w:szCs w:val="21"/>
              </w:rPr>
              <w:t>、NO</w:t>
            </w:r>
            <w:r>
              <w:rPr>
                <w:rFonts w:hint="eastAsia"/>
                <w:szCs w:val="21"/>
                <w:vertAlign w:val="subscript"/>
              </w:rPr>
              <w:t>X</w:t>
            </w:r>
          </w:p>
        </w:tc>
        <w:tc>
          <w:tcPr>
            <w:tcW w:w="2693" w:type="dxa"/>
            <w:vAlign w:val="center"/>
          </w:tcPr>
          <w:p>
            <w:pPr>
              <w:jc w:val="center"/>
              <w:rPr>
                <w:szCs w:val="21"/>
              </w:rPr>
            </w:pPr>
            <w:r>
              <w:rPr>
                <w:rFonts w:hint="eastAsia"/>
                <w:szCs w:val="21"/>
              </w:rPr>
              <w:t>超低氮燃烧器+12m排气筒</w:t>
            </w:r>
          </w:p>
        </w:tc>
        <w:tc>
          <w:tcPr>
            <w:tcW w:w="1559" w:type="dxa"/>
            <w:vAlign w:val="center"/>
          </w:tcPr>
          <w:p>
            <w:pPr>
              <w:jc w:val="center"/>
              <w:rPr>
                <w:szCs w:val="21"/>
              </w:rPr>
            </w:pPr>
            <w:r>
              <w:rPr>
                <w:rFonts w:hint="eastAsia"/>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384" w:type="dxa"/>
            <w:vAlign w:val="center"/>
          </w:tcPr>
          <w:p>
            <w:pPr>
              <w:jc w:val="center"/>
              <w:rPr>
                <w:bCs/>
                <w:szCs w:val="21"/>
              </w:rPr>
            </w:pPr>
            <w:r>
              <w:rPr>
                <w:rFonts w:hint="eastAsia"/>
                <w:bCs/>
                <w:szCs w:val="21"/>
              </w:rPr>
              <w:t>水</w:t>
            </w:r>
            <w:r>
              <w:rPr>
                <w:bCs/>
                <w:szCs w:val="21"/>
              </w:rPr>
              <w:t>污染物</w:t>
            </w:r>
          </w:p>
        </w:tc>
        <w:tc>
          <w:tcPr>
            <w:tcW w:w="1559" w:type="dxa"/>
            <w:vAlign w:val="center"/>
          </w:tcPr>
          <w:p>
            <w:pPr>
              <w:jc w:val="center"/>
              <w:rPr>
                <w:szCs w:val="21"/>
              </w:rPr>
            </w:pPr>
            <w:r>
              <w:rPr>
                <w:rFonts w:hint="eastAsia"/>
                <w:szCs w:val="21"/>
              </w:rPr>
              <w:t>/</w:t>
            </w:r>
          </w:p>
        </w:tc>
        <w:tc>
          <w:tcPr>
            <w:tcW w:w="1418" w:type="dxa"/>
            <w:vAlign w:val="center"/>
          </w:tcPr>
          <w:p>
            <w:pPr>
              <w:jc w:val="center"/>
              <w:rPr>
                <w:szCs w:val="21"/>
              </w:rPr>
            </w:pPr>
            <w:r>
              <w:rPr>
                <w:rFonts w:hint="eastAsia"/>
                <w:szCs w:val="21"/>
              </w:rPr>
              <w:t>/</w:t>
            </w:r>
          </w:p>
        </w:tc>
        <w:tc>
          <w:tcPr>
            <w:tcW w:w="2693" w:type="dxa"/>
            <w:vAlign w:val="center"/>
          </w:tcPr>
          <w:p>
            <w:pPr>
              <w:jc w:val="center"/>
              <w:rPr>
                <w:szCs w:val="21"/>
              </w:rPr>
            </w:pPr>
            <w:r>
              <w:rPr>
                <w:rFonts w:hint="eastAsia"/>
                <w:szCs w:val="21"/>
              </w:rPr>
              <w:t>/</w:t>
            </w:r>
          </w:p>
        </w:tc>
        <w:tc>
          <w:tcPr>
            <w:tcW w:w="1559"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384" w:type="dxa"/>
            <w:vAlign w:val="center"/>
          </w:tcPr>
          <w:p>
            <w:pPr>
              <w:jc w:val="center"/>
              <w:rPr>
                <w:bCs/>
                <w:szCs w:val="21"/>
              </w:rPr>
            </w:pPr>
            <w:r>
              <w:rPr>
                <w:bCs/>
                <w:szCs w:val="21"/>
              </w:rPr>
              <w:t>固体废物</w:t>
            </w:r>
          </w:p>
        </w:tc>
        <w:tc>
          <w:tcPr>
            <w:tcW w:w="1559" w:type="dxa"/>
            <w:vAlign w:val="center"/>
          </w:tcPr>
          <w:p>
            <w:pPr>
              <w:jc w:val="center"/>
              <w:rPr>
                <w:b/>
                <w:szCs w:val="21"/>
              </w:rPr>
            </w:pPr>
            <w:r>
              <w:rPr>
                <w:rFonts w:hint="eastAsia"/>
                <w:szCs w:val="21"/>
              </w:rPr>
              <w:t>锅炉房软水器</w:t>
            </w:r>
          </w:p>
        </w:tc>
        <w:tc>
          <w:tcPr>
            <w:tcW w:w="1418" w:type="dxa"/>
            <w:vAlign w:val="center"/>
          </w:tcPr>
          <w:p>
            <w:pPr>
              <w:jc w:val="center"/>
              <w:rPr>
                <w:szCs w:val="21"/>
              </w:rPr>
            </w:pPr>
            <w:r>
              <w:rPr>
                <w:rFonts w:hint="eastAsia"/>
                <w:szCs w:val="21"/>
              </w:rPr>
              <w:t>废离子交换树脂</w:t>
            </w:r>
          </w:p>
        </w:tc>
        <w:tc>
          <w:tcPr>
            <w:tcW w:w="2693" w:type="dxa"/>
            <w:vAlign w:val="center"/>
          </w:tcPr>
          <w:p>
            <w:pPr>
              <w:jc w:val="center"/>
              <w:rPr>
                <w:szCs w:val="21"/>
              </w:rPr>
            </w:pPr>
            <w:r>
              <w:rPr>
                <w:rFonts w:hint="eastAsia"/>
                <w:szCs w:val="21"/>
              </w:rPr>
              <w:t>交有资质的单位处理，不 在厂内暂存</w:t>
            </w:r>
          </w:p>
        </w:tc>
        <w:tc>
          <w:tcPr>
            <w:tcW w:w="1559" w:type="dxa"/>
            <w:vAlign w:val="center"/>
          </w:tcPr>
          <w:p>
            <w:pPr>
              <w:jc w:val="center"/>
              <w:rPr>
                <w:szCs w:val="21"/>
              </w:rPr>
            </w:pPr>
            <w:r>
              <w:rPr>
                <w:rFonts w:hint="eastAsia"/>
                <w:szCs w:val="21"/>
              </w:rPr>
              <w:t>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84" w:type="dxa"/>
            <w:vAlign w:val="center"/>
          </w:tcPr>
          <w:p>
            <w:pPr>
              <w:jc w:val="center"/>
              <w:rPr>
                <w:bCs/>
                <w:szCs w:val="21"/>
              </w:rPr>
            </w:pPr>
            <w:r>
              <w:rPr>
                <w:bCs/>
                <w:szCs w:val="21"/>
              </w:rPr>
              <w:t>噪声</w:t>
            </w:r>
          </w:p>
        </w:tc>
        <w:tc>
          <w:tcPr>
            <w:tcW w:w="7229" w:type="dxa"/>
            <w:gridSpan w:val="4"/>
            <w:vAlign w:val="center"/>
          </w:tcPr>
          <w:p>
            <w:pPr>
              <w:pStyle w:val="12"/>
              <w:spacing w:line="240" w:lineRule="auto"/>
              <w:ind w:firstLine="0" w:firstLineChars="0"/>
              <w:rPr>
                <w:rFonts w:ascii="Times New Roman" w:hAnsi="Times New Roman"/>
                <w:sz w:val="21"/>
              </w:rPr>
            </w:pPr>
            <w:r>
              <w:rPr>
                <w:rFonts w:hint="eastAsia" w:ascii="Times New Roman" w:hAnsi="Times New Roman"/>
                <w:sz w:val="21"/>
              </w:rPr>
              <w:t>选用低噪声设备、水泵采用减震基础、风机设消声器、设备放置于室内，项目厂界噪声达到《工业企业厂界环境噪声排放标准》（GB12348-2008）中2类标准。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613" w:type="dxa"/>
            <w:gridSpan w:val="5"/>
            <w:vAlign w:val="center"/>
          </w:tcPr>
          <w:p>
            <w:pPr>
              <w:spacing w:line="360" w:lineRule="auto"/>
              <w:jc w:val="left"/>
              <w:rPr>
                <w:b/>
                <w:bCs/>
                <w:sz w:val="24"/>
                <w:szCs w:val="32"/>
              </w:rPr>
            </w:pPr>
            <w:r>
              <w:rPr>
                <w:b/>
                <w:bCs/>
                <w:sz w:val="24"/>
                <w:szCs w:val="32"/>
              </w:rPr>
              <w:t>生态保护措施及预期效果</w:t>
            </w:r>
          </w:p>
          <w:p>
            <w:pPr>
              <w:spacing w:line="360" w:lineRule="auto"/>
              <w:ind w:firstLine="480" w:firstLineChars="200"/>
              <w:rPr>
                <w:sz w:val="24"/>
                <w:szCs w:val="32"/>
              </w:rPr>
            </w:pPr>
            <w:r>
              <w:rPr>
                <w:rFonts w:hint="eastAsia"/>
                <w:sz w:val="24"/>
              </w:rPr>
              <w:t>本项目在现有厂区锅炉房内进行改造，对周边生态环境影响很小</w:t>
            </w:r>
            <w:r>
              <w:rPr>
                <w:sz w:val="24"/>
              </w:rPr>
              <w:t>。</w:t>
            </w:r>
            <w:r>
              <w:rPr>
                <w:rFonts w:hint="eastAsia"/>
                <w:sz w:val="24"/>
              </w:rPr>
              <w:t>本项目实施后，相比改造前，污染物排放量有所减少，对区域生态环境的改善有积极作用。</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rPr>
            </w:pPr>
          </w:p>
          <w:p>
            <w:pPr>
              <w:pStyle w:val="2"/>
            </w:pPr>
          </w:p>
        </w:tc>
      </w:tr>
    </w:tbl>
    <w:p>
      <w:pPr>
        <w:pStyle w:val="3"/>
        <w:spacing w:before="0" w:after="0" w:line="240" w:lineRule="auto"/>
        <w:rPr>
          <w:rFonts w:ascii="Times New Roman"/>
          <w:b w:val="0"/>
          <w:sz w:val="28"/>
          <w:szCs w:val="28"/>
        </w:rPr>
      </w:pPr>
      <w:bookmarkStart w:id="36" w:name="_Toc5113215"/>
      <w:bookmarkStart w:id="37" w:name="_Toc16445"/>
      <w:r>
        <w:rPr>
          <w:rFonts w:ascii="Times New Roman"/>
          <w:sz w:val="28"/>
          <w:szCs w:val="28"/>
        </w:rPr>
        <w:t>结论与建议</w:t>
      </w:r>
      <w:bookmarkEnd w:id="36"/>
      <w:bookmarkEnd w:id="37"/>
    </w:p>
    <w:tbl>
      <w:tblPr>
        <w:tblStyle w:val="25"/>
        <w:tblW w:w="85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0" w:hRule="atLeast"/>
          <w:jc w:val="center"/>
        </w:trPr>
        <w:tc>
          <w:tcPr>
            <w:tcW w:w="8549" w:type="dxa"/>
          </w:tcPr>
          <w:p>
            <w:pPr>
              <w:adjustRightInd w:val="0"/>
              <w:snapToGrid w:val="0"/>
              <w:spacing w:line="360" w:lineRule="auto"/>
              <w:outlineLvl w:val="0"/>
              <w:rPr>
                <w:b/>
                <w:sz w:val="24"/>
              </w:rPr>
            </w:pPr>
            <w:bookmarkStart w:id="38" w:name="_Toc5113216"/>
            <w:r>
              <w:rPr>
                <w:b/>
                <w:sz w:val="24"/>
              </w:rPr>
              <w:t>一、结论</w:t>
            </w:r>
            <w:bookmarkEnd w:id="38"/>
          </w:p>
          <w:p>
            <w:pPr>
              <w:adjustRightInd w:val="0"/>
              <w:snapToGrid w:val="0"/>
              <w:spacing w:line="360" w:lineRule="auto"/>
              <w:ind w:firstLine="482" w:firstLineChars="200"/>
              <w:rPr>
                <w:b/>
                <w:sz w:val="24"/>
              </w:rPr>
            </w:pPr>
            <w:r>
              <w:rPr>
                <w:b/>
                <w:sz w:val="24"/>
              </w:rPr>
              <w:t>1、项目概况</w:t>
            </w:r>
          </w:p>
          <w:p>
            <w:pPr>
              <w:adjustRightInd w:val="0"/>
              <w:snapToGrid w:val="0"/>
              <w:spacing w:line="360" w:lineRule="auto"/>
              <w:ind w:firstLine="480" w:firstLineChars="200"/>
              <w:rPr>
                <w:bCs/>
                <w:sz w:val="24"/>
              </w:rPr>
            </w:pPr>
            <w:r>
              <w:rPr>
                <w:rFonts w:hint="eastAsia"/>
                <w:bCs/>
                <w:sz w:val="24"/>
              </w:rPr>
              <w:t>麓苑国际大酒店位于商洛市柞水县盘龙生态产业园区，是由陕西麓苑实业有限公司投入巨资兴建，由万国国际酒店管理有限公司管理的一家综合性酒店，主要服务功能包括住宿、餐饮、会议、娱乐等。为响应政府环保政策的号召，陕西麓苑实业有限公司投资100万拟拆除燃煤锅炉，新增1台4t/h燃气锅炉用于酒店热水供应。</w:t>
            </w:r>
          </w:p>
          <w:p>
            <w:pPr>
              <w:pStyle w:val="2"/>
              <w:adjustRightInd w:val="0"/>
              <w:snapToGrid w:val="0"/>
              <w:spacing w:line="360" w:lineRule="auto"/>
              <w:ind w:left="0" w:leftChars="0"/>
            </w:pPr>
            <w:r>
              <w:rPr>
                <w:rFonts w:hint="eastAsia"/>
              </w:rPr>
              <w:t>本项目劳动人员从厂区调配，每天工作6小时，年工作时间270天，项目总投资100万，环保投资约为25万，占总投资额的25%。</w:t>
            </w:r>
          </w:p>
          <w:p>
            <w:pPr>
              <w:spacing w:line="360" w:lineRule="auto"/>
              <w:ind w:firstLine="482" w:firstLineChars="200"/>
              <w:rPr>
                <w:b/>
                <w:sz w:val="24"/>
              </w:rPr>
            </w:pPr>
            <w:r>
              <w:rPr>
                <w:b/>
                <w:sz w:val="24"/>
              </w:rPr>
              <w:t>2、</w:t>
            </w:r>
            <w:r>
              <w:rPr>
                <w:rFonts w:hint="eastAsia"/>
                <w:b/>
                <w:sz w:val="24"/>
              </w:rPr>
              <w:t>产业政策</w:t>
            </w:r>
          </w:p>
          <w:p>
            <w:pPr>
              <w:spacing w:line="360" w:lineRule="auto"/>
              <w:ind w:firstLine="480" w:firstLineChars="200"/>
              <w:rPr>
                <w:sz w:val="24"/>
                <w:szCs w:val="20"/>
              </w:rPr>
            </w:pPr>
            <w:r>
              <w:rPr>
                <w:rFonts w:hint="eastAsia"/>
                <w:sz w:val="24"/>
                <w:szCs w:val="20"/>
              </w:rPr>
              <w:t>根据《产业结构调整指导目录（2013年修订本）》，本项目不属于该文件中鼓励类、限制类和淘汰类产业，属于允许类产业。</w:t>
            </w:r>
          </w:p>
          <w:p>
            <w:pPr>
              <w:spacing w:line="360" w:lineRule="auto"/>
              <w:ind w:firstLine="480" w:firstLineChars="200"/>
              <w:rPr>
                <w:sz w:val="24"/>
                <w:szCs w:val="20"/>
              </w:rPr>
            </w:pPr>
            <w:r>
              <w:rPr>
                <w:rFonts w:hint="eastAsia"/>
                <w:sz w:val="24"/>
                <w:szCs w:val="20"/>
              </w:rPr>
              <w:t>本项目符合《陕西省铁腕治霾打赢蓝天保卫战三年行动方案（2018-2020）》、《关于印发陕西省“十三五”环境保护规划的通知》（陕环发[2016]39号）、《关于印发大气污染防治行动计划的通知》（国发[2013]37号）、</w:t>
            </w:r>
            <w:r>
              <w:rPr>
                <w:rFonts w:hint="eastAsia"/>
                <w:sz w:val="24"/>
              </w:rPr>
              <w:t>《关于印发柞水县2018年度主要污染物总量减排实施方案的通知》（柞政办发[2018]34号）</w:t>
            </w:r>
            <w:r>
              <w:rPr>
                <w:rFonts w:hint="eastAsia"/>
                <w:sz w:val="24"/>
                <w:szCs w:val="20"/>
              </w:rPr>
              <w:t>等文件要求。</w:t>
            </w:r>
          </w:p>
          <w:p>
            <w:pPr>
              <w:spacing w:line="360" w:lineRule="auto"/>
              <w:ind w:firstLine="480" w:firstLineChars="200"/>
              <w:rPr>
                <w:sz w:val="24"/>
                <w:szCs w:val="20"/>
              </w:rPr>
            </w:pPr>
            <w:r>
              <w:rPr>
                <w:rFonts w:hint="eastAsia"/>
                <w:sz w:val="24"/>
                <w:szCs w:val="20"/>
              </w:rPr>
              <w:t>同时本项目已取得柞水县发展和改革局《陕西麓苑实业有限公司煤改气项目           备案确认书》（项目代码：2019-611026-61-03-010510），详见附件2。因此，本项目符合国家产业政策。</w:t>
            </w:r>
          </w:p>
          <w:p>
            <w:pPr>
              <w:pStyle w:val="116"/>
              <w:ind w:left="482" w:firstLine="0" w:firstLineChars="0"/>
              <w:rPr>
                <w:rFonts w:cs="Times New Roman"/>
                <w:b/>
              </w:rPr>
            </w:pPr>
            <w:r>
              <w:rPr>
                <w:rFonts w:hint="eastAsia" w:cs="Times New Roman"/>
                <w:b/>
              </w:rPr>
              <w:t>3</w:t>
            </w:r>
            <w:r>
              <w:rPr>
                <w:rFonts w:cs="Times New Roman"/>
                <w:b/>
              </w:rPr>
              <w:t>、</w:t>
            </w:r>
            <w:r>
              <w:rPr>
                <w:rFonts w:hint="eastAsia" w:cs="Times New Roman"/>
                <w:b/>
              </w:rPr>
              <w:t>环境质量现状</w:t>
            </w:r>
          </w:p>
          <w:p>
            <w:pPr>
              <w:pStyle w:val="116"/>
              <w:ind w:left="482" w:firstLine="0" w:firstLineChars="0"/>
              <w:rPr>
                <w:rFonts w:cs="Times New Roman"/>
              </w:rPr>
            </w:pPr>
            <w:r>
              <w:rPr>
                <w:rFonts w:cs="Times New Roman"/>
              </w:rPr>
              <w:t>（1）大气</w:t>
            </w:r>
          </w:p>
          <w:p>
            <w:pPr>
              <w:pStyle w:val="116"/>
              <w:rPr>
                <w:rFonts w:cs="Times New Roman"/>
                <w:szCs w:val="24"/>
              </w:rPr>
            </w:pPr>
            <w:r>
              <w:rPr>
                <w:rFonts w:hint="eastAsia" w:cs="Times New Roman"/>
                <w:szCs w:val="24"/>
              </w:rPr>
              <w:t>评价区内环境空气的各项基本指标（</w:t>
            </w:r>
            <w:r>
              <w:rPr>
                <w:rFonts w:cs="Times New Roman"/>
                <w:szCs w:val="24"/>
              </w:rPr>
              <w:t>SO</w:t>
            </w:r>
            <w:r>
              <w:rPr>
                <w:rFonts w:cs="Times New Roman"/>
                <w:szCs w:val="24"/>
                <w:vertAlign w:val="subscript"/>
              </w:rPr>
              <w:t>2</w:t>
            </w:r>
            <w:r>
              <w:rPr>
                <w:rFonts w:hint="eastAsia" w:cs="Times New Roman"/>
                <w:szCs w:val="24"/>
              </w:rPr>
              <w:t>、NO</w:t>
            </w:r>
            <w:r>
              <w:rPr>
                <w:rFonts w:hint="eastAsia" w:cs="Times New Roman"/>
                <w:szCs w:val="24"/>
                <w:vertAlign w:val="subscript"/>
              </w:rPr>
              <w:t>2</w:t>
            </w:r>
            <w:r>
              <w:rPr>
                <w:rFonts w:hint="eastAsia" w:cs="Times New Roman"/>
                <w:szCs w:val="24"/>
              </w:rPr>
              <w:t>、C</w:t>
            </w:r>
            <w:r>
              <w:rPr>
                <w:rFonts w:cs="Times New Roman"/>
                <w:szCs w:val="24"/>
              </w:rPr>
              <w:t>O</w:t>
            </w:r>
            <w:r>
              <w:rPr>
                <w:rFonts w:hint="eastAsia" w:cs="Times New Roman"/>
                <w:szCs w:val="24"/>
              </w:rPr>
              <w:t>、O</w:t>
            </w:r>
            <w:r>
              <w:rPr>
                <w:rFonts w:cs="Times New Roman"/>
                <w:szCs w:val="24"/>
                <w:vertAlign w:val="subscript"/>
              </w:rPr>
              <w:t>3</w:t>
            </w:r>
            <w:r>
              <w:rPr>
                <w:rFonts w:hint="eastAsia" w:cs="Times New Roman"/>
                <w:szCs w:val="24"/>
              </w:rPr>
              <w:t>、PM</w:t>
            </w:r>
            <w:r>
              <w:rPr>
                <w:rFonts w:hint="eastAsia" w:cs="Times New Roman"/>
                <w:szCs w:val="24"/>
                <w:vertAlign w:val="subscript"/>
              </w:rPr>
              <w:t>2.5</w:t>
            </w:r>
            <w:r>
              <w:rPr>
                <w:rFonts w:hint="eastAsia" w:cs="Times New Roman"/>
                <w:szCs w:val="24"/>
              </w:rPr>
              <w:t>、PM</w:t>
            </w:r>
            <w:r>
              <w:rPr>
                <w:rFonts w:hint="eastAsia" w:cs="Times New Roman"/>
                <w:szCs w:val="24"/>
                <w:vertAlign w:val="subscript"/>
              </w:rPr>
              <w:t>10</w:t>
            </w:r>
            <w:r>
              <w:rPr>
                <w:rFonts w:hint="eastAsia" w:cs="Times New Roman"/>
                <w:szCs w:val="24"/>
              </w:rPr>
              <w:t>）现状浓度均符合</w:t>
            </w:r>
            <w:r>
              <w:rPr>
                <w:rFonts w:cs="Times New Roman"/>
                <w:szCs w:val="24"/>
              </w:rPr>
              <w:t>《环境空气质量标准》（</w:t>
            </w:r>
            <w:r>
              <w:rPr>
                <w:rFonts w:cs="Times New Roman"/>
              </w:rPr>
              <w:t>GB3095-2012</w:t>
            </w:r>
            <w:r>
              <w:rPr>
                <w:rFonts w:cs="Times New Roman"/>
                <w:szCs w:val="24"/>
              </w:rPr>
              <w:t>）</w:t>
            </w:r>
            <w:r>
              <w:rPr>
                <w:rFonts w:hint="eastAsia" w:cs="Times New Roman"/>
                <w:szCs w:val="24"/>
              </w:rPr>
              <w:t>及修改单中二级标准限值的</w:t>
            </w:r>
            <w:r>
              <w:rPr>
                <w:rFonts w:cs="Times New Roman"/>
                <w:szCs w:val="24"/>
              </w:rPr>
              <w:t>要求</w:t>
            </w:r>
            <w:r>
              <w:rPr>
                <w:rFonts w:hint="eastAsia" w:cs="Times New Roman"/>
                <w:szCs w:val="24"/>
              </w:rPr>
              <w:t>，本项目所在区域空气质量判定结果为达标。</w:t>
            </w:r>
          </w:p>
          <w:p>
            <w:pPr>
              <w:tabs>
                <w:tab w:val="left" w:pos="2440"/>
              </w:tabs>
              <w:adjustRightInd w:val="0"/>
              <w:snapToGrid w:val="0"/>
              <w:spacing w:line="360" w:lineRule="auto"/>
              <w:ind w:firstLine="480" w:firstLineChars="200"/>
              <w:rPr>
                <w:sz w:val="24"/>
              </w:rPr>
            </w:pPr>
            <w:r>
              <w:rPr>
                <w:rFonts w:hint="eastAsia"/>
                <w:sz w:val="24"/>
              </w:rPr>
              <w:t>（</w:t>
            </w:r>
            <w:r>
              <w:rPr>
                <w:sz w:val="24"/>
              </w:rPr>
              <w:t>2</w:t>
            </w:r>
            <w:r>
              <w:rPr>
                <w:rFonts w:hint="eastAsia"/>
                <w:sz w:val="24"/>
              </w:rPr>
              <w:t>）噪声</w:t>
            </w:r>
          </w:p>
          <w:p>
            <w:pPr>
              <w:tabs>
                <w:tab w:val="left" w:pos="2440"/>
              </w:tabs>
              <w:adjustRightInd w:val="0"/>
              <w:snapToGrid w:val="0"/>
              <w:spacing w:line="360" w:lineRule="auto"/>
              <w:ind w:firstLine="480" w:firstLineChars="200"/>
              <w:rPr>
                <w:sz w:val="24"/>
              </w:rPr>
            </w:pPr>
            <w:r>
              <w:rPr>
                <w:rFonts w:hint="eastAsia"/>
                <w:sz w:val="24"/>
              </w:rPr>
              <w:t>项目周边噪声敏感点及厂界各监测点昼、夜等效声级分别低于《声环境质量标准》（GB3096-2008）中的2类标准，评价区域声环境质量良好</w:t>
            </w:r>
            <w:r>
              <w:rPr>
                <w:sz w:val="24"/>
              </w:rPr>
              <w:t>。</w:t>
            </w:r>
          </w:p>
          <w:p>
            <w:pPr>
              <w:pStyle w:val="2"/>
              <w:spacing w:line="360" w:lineRule="auto"/>
              <w:ind w:left="0" w:leftChars="0" w:firstLine="482" w:firstLineChars="200"/>
            </w:pPr>
            <w:r>
              <w:rPr>
                <w:rFonts w:hint="eastAsia"/>
                <w:b/>
              </w:rPr>
              <w:t>4、运营期环境影响分析</w:t>
            </w:r>
          </w:p>
          <w:p>
            <w:pPr>
              <w:pStyle w:val="2"/>
              <w:spacing w:line="360" w:lineRule="auto"/>
              <w:ind w:left="0" w:leftChars="0" w:firstLine="480" w:firstLineChars="200"/>
            </w:pPr>
            <w:bookmarkStart w:id="39" w:name="_Hlk6159100"/>
            <w:r>
              <w:rPr>
                <w:rFonts w:hint="eastAsia"/>
              </w:rPr>
              <w:t>（1）环境空气影响分析</w:t>
            </w:r>
          </w:p>
          <w:p>
            <w:pPr>
              <w:pStyle w:val="2"/>
              <w:spacing w:line="360" w:lineRule="auto"/>
              <w:ind w:left="0" w:leftChars="0" w:firstLine="480" w:firstLineChars="200"/>
            </w:pPr>
            <w:r>
              <w:rPr>
                <w:rFonts w:hint="eastAsia"/>
              </w:rPr>
              <w:t>本项目大气污染物为锅炉燃烧产生的烟尘、SO</w:t>
            </w:r>
            <w:r>
              <w:rPr>
                <w:rFonts w:hint="eastAsia"/>
                <w:vertAlign w:val="subscript"/>
              </w:rPr>
              <w:t>2</w:t>
            </w:r>
            <w:r>
              <w:rPr>
                <w:rFonts w:hint="eastAsia"/>
              </w:rPr>
              <w:t>及NO</w:t>
            </w:r>
            <w:r>
              <w:rPr>
                <w:rFonts w:hint="eastAsia"/>
                <w:vertAlign w:val="subscript"/>
              </w:rPr>
              <w:t>X</w:t>
            </w:r>
            <w:r>
              <w:rPr>
                <w:rFonts w:hint="eastAsia"/>
              </w:rPr>
              <w:t>。根据预测结果，本项目锅炉燃烧废气污染物最大落地浓度距离为81m，其中颗粒物最大落地浓度为0.00130mg/m</w:t>
            </w:r>
            <w:r>
              <w:rPr>
                <w:rFonts w:hint="eastAsia"/>
                <w:vertAlign w:val="superscript"/>
              </w:rPr>
              <w:t>3</w:t>
            </w:r>
            <w:r>
              <w:rPr>
                <w:rFonts w:hint="eastAsia"/>
              </w:rPr>
              <w:t>，占标率为0.14%；SO</w:t>
            </w:r>
            <w:r>
              <w:rPr>
                <w:rFonts w:hint="eastAsia"/>
                <w:vertAlign w:val="subscript"/>
              </w:rPr>
              <w:t>2</w:t>
            </w:r>
            <w:r>
              <w:rPr>
                <w:rFonts w:hint="eastAsia"/>
              </w:rPr>
              <w:t>最大落地浓度为0.00119mg/m</w:t>
            </w:r>
            <w:r>
              <w:rPr>
                <w:rFonts w:hint="eastAsia"/>
                <w:vertAlign w:val="superscript"/>
              </w:rPr>
              <w:t>3</w:t>
            </w:r>
            <w:r>
              <w:rPr>
                <w:rFonts w:hint="eastAsia"/>
              </w:rPr>
              <w:t>，占标率为0.24%；NO</w:t>
            </w:r>
            <w:r>
              <w:rPr>
                <w:rFonts w:hint="eastAsia"/>
                <w:vertAlign w:val="subscript"/>
              </w:rPr>
              <w:t>X</w:t>
            </w:r>
            <w:r>
              <w:rPr>
                <w:rFonts w:hint="eastAsia"/>
              </w:rPr>
              <w:t>最大落地浓度为0.01237mg/m</w:t>
            </w:r>
            <w:r>
              <w:rPr>
                <w:rFonts w:hint="eastAsia"/>
                <w:vertAlign w:val="superscript"/>
              </w:rPr>
              <w:t>3</w:t>
            </w:r>
            <w:r>
              <w:rPr>
                <w:rFonts w:hint="eastAsia"/>
              </w:rPr>
              <w:t>，占标率为4.95%。本项目实施后，锅炉燃烧烟气排放对区域环境质量影响较小。从大气环境保护角度考虑本次技改项目可行。</w:t>
            </w:r>
          </w:p>
          <w:p>
            <w:pPr>
              <w:pStyle w:val="2"/>
              <w:spacing w:line="360" w:lineRule="auto"/>
              <w:ind w:left="0" w:leftChars="0" w:firstLine="480" w:firstLineChars="200"/>
            </w:pPr>
            <w:r>
              <w:rPr>
                <w:rFonts w:hint="eastAsia"/>
              </w:rPr>
              <w:t>（2）地表水环境影响分析</w:t>
            </w:r>
          </w:p>
          <w:p>
            <w:pPr>
              <w:pStyle w:val="2"/>
              <w:spacing w:line="360" w:lineRule="auto"/>
              <w:ind w:left="0" w:leftChars="0" w:firstLine="432" w:firstLineChars="180"/>
              <w:jc w:val="left"/>
            </w:pPr>
            <w:r>
              <w:rPr>
                <w:rFonts w:hint="eastAsia"/>
              </w:rPr>
              <w:t>锅炉排水与软化废水属于含盐废水，产生量很少，可直接排入市政污水管网，其对地表水环境影响很小。</w:t>
            </w:r>
          </w:p>
          <w:p>
            <w:pPr>
              <w:pStyle w:val="2"/>
              <w:spacing w:line="360" w:lineRule="auto"/>
              <w:ind w:left="0" w:leftChars="0" w:firstLine="480" w:firstLineChars="200"/>
            </w:pPr>
            <w:r>
              <w:rPr>
                <w:rFonts w:hint="eastAsia"/>
              </w:rPr>
              <w:t>（3）声环境影响分析</w:t>
            </w:r>
          </w:p>
          <w:p>
            <w:pPr>
              <w:pStyle w:val="2"/>
              <w:spacing w:line="360" w:lineRule="auto"/>
              <w:ind w:left="0" w:leftChars="0"/>
            </w:pPr>
            <w:r>
              <w:rPr>
                <w:rFonts w:hint="eastAsia"/>
              </w:rPr>
              <w:t>本项目的噪声主要为设备运转噪声。通过选用低噪声设备，设减振基础以及距离衰减后，厂界噪声满足《工业企业厂界环境噪声排放标准》（GB12348-2008）中2类标准要求，不会对周围环境产生不良影响。</w:t>
            </w:r>
          </w:p>
          <w:p>
            <w:pPr>
              <w:pStyle w:val="2"/>
              <w:spacing w:line="360" w:lineRule="auto"/>
              <w:ind w:left="0" w:leftChars="0"/>
            </w:pPr>
            <w:r>
              <w:rPr>
                <w:rFonts w:hint="eastAsia"/>
              </w:rPr>
              <w:t>项目输气管道在系统超压时对天然气做放空处理，放空天然气产生的噪声为偶发瞬时噪声，噪声值约为110dB (A)，对距离放空管较近范围内的环境保护目标有不同程度的影响，但这种影响是暂时的。为进一步减轻放空噪声的影响，环评要求建设单位在放置放空管处安装消声器，并注意调节气流量，通过气流量的合理控制减少噪声影响。同时，环评要求放空时间安排在昼间（6：00~22：00），应避免在夜间进行放空作业。</w:t>
            </w:r>
          </w:p>
          <w:p>
            <w:pPr>
              <w:pStyle w:val="2"/>
              <w:spacing w:line="360" w:lineRule="auto"/>
              <w:ind w:left="0" w:leftChars="0"/>
            </w:pPr>
            <w:r>
              <w:rPr>
                <w:rFonts w:hint="eastAsia"/>
              </w:rPr>
              <w:t>（4）固体废物影响分析</w:t>
            </w:r>
          </w:p>
          <w:p>
            <w:pPr>
              <w:pStyle w:val="2"/>
              <w:spacing w:line="360" w:lineRule="auto"/>
              <w:ind w:left="0" w:leftChars="0" w:firstLine="432" w:firstLineChars="180"/>
              <w:jc w:val="left"/>
            </w:pPr>
            <w:r>
              <w:rPr>
                <w:rFonts w:hint="eastAsia"/>
              </w:rPr>
              <w:t>本项目实施后，现有燃煤锅炉运行产生的锅炉灰渣将不存在。软化废水装置会产生少量的废离子交换树脂，废离子交换树脂属于危险废物，约5~8年更换一次，使用期满后直接交由有资质的单位回收处理，不在厂内暂存。</w:t>
            </w:r>
          </w:p>
          <w:bookmarkEnd w:id="39"/>
          <w:p>
            <w:pPr>
              <w:pStyle w:val="2"/>
              <w:spacing w:line="360" w:lineRule="auto"/>
              <w:ind w:left="0" w:leftChars="0" w:firstLine="482" w:firstLineChars="200"/>
            </w:pPr>
            <w:r>
              <w:rPr>
                <w:rFonts w:hint="eastAsia"/>
                <w:b/>
              </w:rPr>
              <w:t>5、污染物总量控制</w:t>
            </w:r>
          </w:p>
          <w:p>
            <w:pPr>
              <w:pStyle w:val="2"/>
              <w:spacing w:line="360" w:lineRule="auto"/>
              <w:ind w:left="0" w:leftChars="0" w:firstLine="432" w:firstLineChars="180"/>
              <w:jc w:val="left"/>
            </w:pPr>
            <w:r>
              <w:rPr>
                <w:rFonts w:hint="eastAsia"/>
              </w:rPr>
              <w:t>本项目改造完成后，不新增劳动定员，生活废水排放量不增加；</w:t>
            </w:r>
          </w:p>
          <w:p>
            <w:pPr>
              <w:pStyle w:val="2"/>
              <w:spacing w:line="360" w:lineRule="auto"/>
              <w:ind w:left="0" w:leftChars="0" w:firstLine="432" w:firstLineChars="180"/>
              <w:jc w:val="left"/>
            </w:pPr>
            <w:r>
              <w:rPr>
                <w:rFonts w:hint="eastAsia"/>
              </w:rPr>
              <w:t>本项目实施后，预测 SO</w:t>
            </w:r>
            <w:r>
              <w:rPr>
                <w:rFonts w:hint="eastAsia"/>
                <w:vertAlign w:val="subscript"/>
              </w:rPr>
              <w:t>2</w:t>
            </w:r>
            <w:r>
              <w:rPr>
                <w:rFonts w:hint="eastAsia"/>
              </w:rPr>
              <w:t>排放量为0.018t/a、NO</w:t>
            </w:r>
            <w:r>
              <w:rPr>
                <w:rFonts w:hint="eastAsia"/>
                <w:vertAlign w:val="subscript"/>
              </w:rPr>
              <w:t>X</w:t>
            </w:r>
            <w:r>
              <w:rPr>
                <w:rFonts w:hint="eastAsia"/>
              </w:rPr>
              <w:t>排放量为0.18t/a、颗粒物排放量为0.0196t/a，建议总量指标控制SO</w:t>
            </w:r>
            <w:r>
              <w:rPr>
                <w:rFonts w:hint="eastAsia"/>
                <w:vertAlign w:val="subscript"/>
              </w:rPr>
              <w:t>2</w:t>
            </w:r>
            <w:r>
              <w:rPr>
                <w:rFonts w:hint="eastAsia"/>
              </w:rPr>
              <w:t>排放量为0.018t/a、NO</w:t>
            </w:r>
            <w:r>
              <w:rPr>
                <w:rFonts w:hint="eastAsia"/>
                <w:vertAlign w:val="subscript"/>
              </w:rPr>
              <w:t>X</w:t>
            </w:r>
            <w:r>
              <w:rPr>
                <w:rFonts w:hint="eastAsia"/>
              </w:rPr>
              <w:t>排放量为0.18t/a。</w:t>
            </w:r>
          </w:p>
          <w:p>
            <w:pPr>
              <w:spacing w:line="360" w:lineRule="auto"/>
              <w:ind w:firstLine="482" w:firstLineChars="200"/>
              <w:outlineLvl w:val="0"/>
              <w:rPr>
                <w:b/>
                <w:sz w:val="24"/>
              </w:rPr>
            </w:pPr>
            <w:bookmarkStart w:id="40" w:name="_Toc5113217"/>
            <w:bookmarkStart w:id="41" w:name="_Hlk6160253"/>
            <w:r>
              <w:rPr>
                <w:rFonts w:hint="eastAsia"/>
                <w:b/>
                <w:sz w:val="24"/>
              </w:rPr>
              <w:t>6、环境影响评价总结论</w:t>
            </w:r>
            <w:bookmarkEnd w:id="40"/>
          </w:p>
          <w:p>
            <w:pPr>
              <w:spacing w:line="360" w:lineRule="auto"/>
              <w:ind w:firstLine="480" w:firstLineChars="200"/>
            </w:pPr>
            <w:r>
              <w:rPr>
                <w:rFonts w:hint="eastAsia"/>
                <w:sz w:val="24"/>
              </w:rPr>
              <w:t>陕西麓苑实业有限公司煤改气项目符合国家产业政策，项目运行过程中产生的环境影响因素主要为废气与噪声。建设单位在严格执行本评价提出的污染防治和风险防范措施后，各项污染物均能实现达标排放。从满足环境质量目标要求分析，项目的建设是可行的。</w:t>
            </w:r>
            <w:bookmarkEnd w:id="41"/>
            <w:r>
              <w:rPr>
                <w:rFonts w:hint="eastAsia"/>
              </w:rPr>
              <w:t xml:space="preserve"> </w:t>
            </w:r>
          </w:p>
          <w:p>
            <w:pPr>
              <w:spacing w:line="360" w:lineRule="auto"/>
              <w:ind w:firstLine="482" w:firstLineChars="200"/>
              <w:outlineLvl w:val="0"/>
              <w:rPr>
                <w:b/>
                <w:sz w:val="24"/>
              </w:rPr>
            </w:pPr>
            <w:bookmarkStart w:id="42" w:name="_Toc5113218"/>
            <w:r>
              <w:rPr>
                <w:rFonts w:hint="eastAsia"/>
                <w:b/>
                <w:sz w:val="24"/>
              </w:rPr>
              <w:t>7、要求与建议</w:t>
            </w:r>
            <w:bookmarkEnd w:id="42"/>
          </w:p>
          <w:p>
            <w:pPr>
              <w:adjustRightInd w:val="0"/>
              <w:snapToGrid w:val="0"/>
              <w:spacing w:line="360" w:lineRule="auto"/>
              <w:ind w:firstLine="480" w:firstLineChars="200"/>
              <w:outlineLvl w:val="0"/>
              <w:rPr>
                <w:sz w:val="24"/>
              </w:rPr>
            </w:pPr>
            <w:bookmarkStart w:id="43" w:name="_Toc5113219"/>
            <w:r>
              <w:rPr>
                <w:rFonts w:hint="eastAsia"/>
                <w:sz w:val="24"/>
              </w:rPr>
              <w:t>（1）按照环评中提出的防治对策，积极落实各项环保措施。</w:t>
            </w:r>
            <w:bookmarkEnd w:id="43"/>
          </w:p>
          <w:p>
            <w:pPr>
              <w:adjustRightInd w:val="0"/>
              <w:snapToGrid w:val="0"/>
              <w:spacing w:line="360" w:lineRule="auto"/>
              <w:ind w:firstLine="480" w:firstLineChars="200"/>
              <w:outlineLvl w:val="0"/>
              <w:rPr>
                <w:sz w:val="24"/>
              </w:rPr>
            </w:pPr>
            <w:bookmarkStart w:id="44" w:name="_Toc5113220"/>
            <w:r>
              <w:rPr>
                <w:rFonts w:hint="eastAsia"/>
                <w:sz w:val="24"/>
              </w:rPr>
              <w:t>（2）建立健全的环境管理制度。</w:t>
            </w:r>
            <w:bookmarkEnd w:id="44"/>
          </w:p>
          <w:p>
            <w:pPr>
              <w:adjustRightInd w:val="0"/>
              <w:snapToGrid w:val="0"/>
              <w:spacing w:line="360" w:lineRule="auto"/>
              <w:ind w:firstLine="480" w:firstLineChars="200"/>
              <w:outlineLvl w:val="0"/>
              <w:rPr>
                <w:sz w:val="24"/>
              </w:rPr>
            </w:pPr>
            <w:bookmarkStart w:id="45" w:name="_Toc5113221"/>
            <w:r>
              <w:rPr>
                <w:rFonts w:hint="eastAsia"/>
                <w:sz w:val="24"/>
              </w:rPr>
              <w:t>（3）认真落实环境监测计划，确保污染物达标排放。</w:t>
            </w:r>
            <w:bookmarkEnd w:id="45"/>
          </w:p>
          <w:p>
            <w:pPr>
              <w:adjustRightInd w:val="0"/>
              <w:snapToGrid w:val="0"/>
              <w:spacing w:line="360" w:lineRule="auto"/>
              <w:ind w:firstLine="480" w:firstLineChars="200"/>
              <w:outlineLvl w:val="0"/>
              <w:rPr>
                <w:sz w:val="24"/>
              </w:rPr>
            </w:pPr>
            <w:bookmarkStart w:id="46" w:name="_Toc5113222"/>
            <w:r>
              <w:rPr>
                <w:rFonts w:hint="eastAsia"/>
                <w:sz w:val="24"/>
              </w:rPr>
              <w:t>（4）加强对燃气锅炉、燃气管线的漏气检验，保证安全生产。</w:t>
            </w:r>
            <w:bookmarkEnd w:id="46"/>
          </w:p>
          <w:p>
            <w:pPr>
              <w:pStyle w:val="2"/>
              <w:adjustRightInd w:val="0"/>
              <w:snapToGrid w:val="0"/>
              <w:spacing w:line="360" w:lineRule="auto"/>
              <w:ind w:left="0" w:leftChars="0" w:firstLine="480" w:firstLineChars="200"/>
            </w:pPr>
          </w:p>
          <w:p>
            <w:pPr>
              <w:adjustRightInd w:val="0"/>
              <w:snapToGrid w:val="0"/>
              <w:spacing w:line="360" w:lineRule="auto"/>
              <w:ind w:firstLine="480" w:firstLineChars="20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1" w:hRule="atLeast"/>
          <w:jc w:val="center"/>
        </w:trPr>
        <w:tc>
          <w:tcPr>
            <w:tcW w:w="8549" w:type="dxa"/>
          </w:tcPr>
          <w:p>
            <w:pPr>
              <w:spacing w:before="156" w:beforeLines="50" w:after="156" w:afterLines="50" w:line="380" w:lineRule="exact"/>
              <w:rPr>
                <w:sz w:val="24"/>
              </w:rPr>
            </w:pPr>
            <w:r>
              <w:rPr>
                <w:sz w:val="24"/>
              </w:rPr>
              <w:t>预审意见：</w:t>
            </w:r>
          </w:p>
          <w:p>
            <w:pPr>
              <w:spacing w:before="156" w:beforeLines="50" w:after="156" w:afterLines="50" w:line="380" w:lineRule="exact"/>
              <w:rPr>
                <w:sz w:val="24"/>
              </w:rPr>
            </w:pPr>
          </w:p>
          <w:p>
            <w:pPr>
              <w:spacing w:before="156" w:beforeLines="50" w:after="156" w:afterLines="50" w:line="380" w:lineRule="exact"/>
              <w:rPr>
                <w:sz w:val="24"/>
              </w:rPr>
            </w:pPr>
          </w:p>
          <w:p>
            <w:pPr>
              <w:spacing w:before="156" w:beforeLines="50" w:after="156" w:afterLines="50" w:line="380" w:lineRule="exact"/>
              <w:rPr>
                <w:sz w:val="24"/>
              </w:rPr>
            </w:pPr>
          </w:p>
          <w:p>
            <w:pPr>
              <w:spacing w:before="156" w:beforeLines="50" w:after="156" w:afterLines="50" w:line="380" w:lineRule="exact"/>
              <w:rPr>
                <w:sz w:val="24"/>
              </w:rPr>
            </w:pPr>
          </w:p>
          <w:p>
            <w:pPr>
              <w:spacing w:before="156" w:beforeLines="50" w:after="156" w:afterLines="50" w:line="380" w:lineRule="exact"/>
              <w:ind w:firstLine="7320"/>
              <w:rPr>
                <w:sz w:val="24"/>
              </w:rPr>
            </w:pPr>
          </w:p>
          <w:p>
            <w:pPr>
              <w:spacing w:before="156" w:beforeLines="50" w:after="156" w:afterLines="50" w:line="380" w:lineRule="exact"/>
              <w:ind w:firstLine="7320"/>
              <w:rPr>
                <w:sz w:val="24"/>
              </w:rPr>
            </w:pPr>
          </w:p>
          <w:p>
            <w:pPr>
              <w:spacing w:before="156" w:beforeLines="50" w:after="156" w:afterLines="50" w:line="380" w:lineRule="exact"/>
              <w:ind w:firstLine="7320"/>
              <w:rPr>
                <w:sz w:val="24"/>
              </w:rPr>
            </w:pPr>
          </w:p>
          <w:p>
            <w:pPr>
              <w:spacing w:before="156" w:beforeLines="50" w:after="156" w:afterLines="50" w:line="380" w:lineRule="exact"/>
              <w:ind w:firstLine="7320"/>
              <w:rPr>
                <w:sz w:val="24"/>
              </w:rPr>
            </w:pPr>
          </w:p>
          <w:p>
            <w:pPr>
              <w:spacing w:before="156" w:beforeLines="50" w:after="156" w:afterLines="50" w:line="380" w:lineRule="exact"/>
              <w:ind w:firstLine="6819"/>
              <w:jc w:val="left"/>
              <w:rPr>
                <w:sz w:val="24"/>
              </w:rPr>
            </w:pPr>
            <w:r>
              <w:rPr>
                <w:sz w:val="24"/>
              </w:rPr>
              <w:t>公章</w:t>
            </w:r>
          </w:p>
          <w:p>
            <w:pPr>
              <w:spacing w:before="156" w:beforeLines="50" w:after="156" w:afterLines="50" w:line="380" w:lineRule="exact"/>
              <w:jc w:val="center"/>
              <w:rPr>
                <w:sz w:val="24"/>
              </w:rPr>
            </w:pPr>
            <w:r>
              <w:rPr>
                <w:sz w:val="24"/>
              </w:rPr>
              <w:t>经办人：</w:t>
            </w:r>
            <w:r>
              <w:rPr>
                <w:rFonts w:hint="eastAsia"/>
                <w:sz w:val="24"/>
              </w:rPr>
              <w:t xml:space="preserve"> </w:t>
            </w:r>
            <w:r>
              <w:rPr>
                <w:sz w:val="24"/>
              </w:rPr>
              <w:t xml:space="preserve">                                         </w:t>
            </w:r>
            <w:r>
              <w:rPr>
                <w:rFonts w:hint="eastAsia"/>
                <w:sz w:val="24"/>
              </w:rPr>
              <w:t>年  月  日</w:t>
            </w:r>
          </w:p>
          <w:p>
            <w:pPr>
              <w:spacing w:before="156" w:beforeLines="50" w:after="156" w:afterLines="50" w:line="380" w:lineRule="exact"/>
              <w:ind w:firstLine="1440" w:firstLineChars="60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7" w:hRule="atLeast"/>
          <w:jc w:val="center"/>
        </w:trPr>
        <w:tc>
          <w:tcPr>
            <w:tcW w:w="8549" w:type="dxa"/>
          </w:tcPr>
          <w:p>
            <w:pPr>
              <w:spacing w:before="156" w:beforeLines="50" w:after="156" w:afterLines="50" w:line="380" w:lineRule="exact"/>
              <w:rPr>
                <w:sz w:val="24"/>
              </w:rPr>
            </w:pPr>
            <w:r>
              <w:rPr>
                <w:sz w:val="24"/>
              </w:rPr>
              <w:t>下一级环境保护行政主管部门审查意见：</w:t>
            </w:r>
          </w:p>
          <w:p>
            <w:pPr>
              <w:spacing w:before="156" w:beforeLines="50" w:after="156" w:afterLines="50" w:line="380" w:lineRule="exact"/>
              <w:rPr>
                <w:sz w:val="24"/>
              </w:rPr>
            </w:pPr>
          </w:p>
          <w:p>
            <w:pPr>
              <w:spacing w:before="156" w:beforeLines="50" w:after="156" w:afterLines="50" w:line="380" w:lineRule="exact"/>
              <w:rPr>
                <w:sz w:val="24"/>
              </w:rPr>
            </w:pPr>
          </w:p>
          <w:p>
            <w:pPr>
              <w:spacing w:before="156" w:beforeLines="50" w:after="156" w:afterLines="50" w:line="380" w:lineRule="exact"/>
              <w:rPr>
                <w:sz w:val="24"/>
              </w:rPr>
            </w:pPr>
          </w:p>
          <w:p>
            <w:pPr>
              <w:spacing w:before="156" w:beforeLines="50" w:after="156" w:afterLines="50" w:line="380" w:lineRule="exact"/>
              <w:rPr>
                <w:sz w:val="24"/>
              </w:rPr>
            </w:pPr>
          </w:p>
          <w:p>
            <w:pPr>
              <w:spacing w:before="156" w:beforeLines="50" w:after="156" w:afterLines="50" w:line="380" w:lineRule="exact"/>
              <w:rPr>
                <w:sz w:val="24"/>
              </w:rPr>
            </w:pPr>
          </w:p>
          <w:p>
            <w:pPr>
              <w:pStyle w:val="2"/>
            </w:pPr>
          </w:p>
          <w:p>
            <w:pPr>
              <w:pStyle w:val="2"/>
            </w:pPr>
          </w:p>
          <w:p>
            <w:pPr>
              <w:spacing w:before="156" w:beforeLines="50" w:after="156" w:afterLines="50" w:line="380" w:lineRule="exact"/>
              <w:ind w:firstLine="7320"/>
              <w:rPr>
                <w:sz w:val="24"/>
              </w:rPr>
            </w:pPr>
          </w:p>
          <w:p>
            <w:pPr>
              <w:spacing w:before="156" w:beforeLines="50" w:after="156" w:afterLines="50" w:line="380" w:lineRule="exact"/>
              <w:ind w:firstLine="6819"/>
              <w:jc w:val="left"/>
              <w:rPr>
                <w:sz w:val="24"/>
              </w:rPr>
            </w:pPr>
            <w:r>
              <w:rPr>
                <w:sz w:val="24"/>
              </w:rPr>
              <w:t>公章</w:t>
            </w:r>
          </w:p>
          <w:p>
            <w:pPr>
              <w:spacing w:before="156" w:beforeLines="50" w:after="156" w:afterLines="50" w:line="380" w:lineRule="exact"/>
              <w:jc w:val="center"/>
              <w:rPr>
                <w:sz w:val="24"/>
              </w:rPr>
            </w:pPr>
            <w:r>
              <w:rPr>
                <w:sz w:val="24"/>
              </w:rPr>
              <w:t>经办人：</w:t>
            </w:r>
            <w:r>
              <w:rPr>
                <w:rFonts w:hint="eastAsia"/>
                <w:sz w:val="24"/>
              </w:rPr>
              <w:t xml:space="preserve"> </w:t>
            </w:r>
            <w:r>
              <w:rPr>
                <w:sz w:val="24"/>
              </w:rPr>
              <w:t xml:space="preserve">                                         </w:t>
            </w:r>
            <w:r>
              <w:rPr>
                <w:rFonts w:hint="eastAsia"/>
                <w:sz w:val="24"/>
              </w:rPr>
              <w:t>年  月  日</w:t>
            </w: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98" w:hRule="atLeast"/>
          <w:jc w:val="center"/>
        </w:trPr>
        <w:tc>
          <w:tcPr>
            <w:tcW w:w="8549" w:type="dxa"/>
          </w:tcPr>
          <w:p>
            <w:pPr>
              <w:spacing w:before="156" w:beforeLines="50" w:after="156" w:afterLines="50" w:line="380" w:lineRule="exact"/>
              <w:rPr>
                <w:sz w:val="24"/>
              </w:rPr>
            </w:pPr>
            <w:r>
              <w:rPr>
                <w:sz w:val="24"/>
              </w:rPr>
              <w:t>审批意见：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spacing w:before="156" w:beforeLines="50" w:after="156" w:afterLines="50" w:line="380" w:lineRule="exact"/>
              <w:ind w:firstLine="7320"/>
              <w:rPr>
                <w:sz w:val="24"/>
              </w:rPr>
            </w:pPr>
          </w:p>
          <w:p>
            <w:pPr>
              <w:spacing w:before="156" w:beforeLines="50" w:after="156" w:afterLines="50" w:line="380" w:lineRule="exact"/>
              <w:ind w:firstLine="6819"/>
              <w:jc w:val="left"/>
              <w:rPr>
                <w:sz w:val="24"/>
              </w:rPr>
            </w:pPr>
            <w:r>
              <w:rPr>
                <w:sz w:val="24"/>
              </w:rPr>
              <w:t>公章</w:t>
            </w:r>
          </w:p>
          <w:p>
            <w:pPr>
              <w:spacing w:before="156" w:beforeLines="50" w:after="156" w:afterLines="50" w:line="380" w:lineRule="exact"/>
              <w:jc w:val="center"/>
              <w:rPr>
                <w:sz w:val="24"/>
              </w:rPr>
            </w:pPr>
            <w:r>
              <w:rPr>
                <w:sz w:val="24"/>
              </w:rPr>
              <w:t>经办人：</w:t>
            </w:r>
            <w:r>
              <w:rPr>
                <w:rFonts w:hint="eastAsia"/>
                <w:sz w:val="24"/>
              </w:rPr>
              <w:t xml:space="preserve"> </w:t>
            </w:r>
            <w:r>
              <w:rPr>
                <w:sz w:val="24"/>
              </w:rPr>
              <w:t xml:space="preserve">                                         </w:t>
            </w:r>
            <w:r>
              <w:rPr>
                <w:rFonts w:hint="eastAsia"/>
                <w:sz w:val="24"/>
              </w:rPr>
              <w:t>年  月  日</w:t>
            </w:r>
          </w:p>
          <w:p>
            <w:pPr>
              <w:ind w:firstLine="480" w:firstLineChars="200"/>
              <w:rPr>
                <w:sz w:val="24"/>
              </w:rPr>
            </w:pPr>
          </w:p>
          <w:p>
            <w:pPr>
              <w:ind w:firstLine="480" w:firstLineChars="200"/>
              <w:rPr>
                <w:sz w:val="24"/>
              </w:rPr>
            </w:pPr>
          </w:p>
          <w:p>
            <w:pPr>
              <w:pStyle w:val="2"/>
            </w:pPr>
          </w:p>
          <w:p>
            <w:pPr>
              <w:pStyle w:val="2"/>
            </w:pPr>
          </w:p>
          <w:p>
            <w:pPr>
              <w:pStyle w:val="2"/>
            </w:pPr>
          </w:p>
          <w:p>
            <w:pPr>
              <w:rPr>
                <w:sz w:val="24"/>
              </w:rPr>
            </w:pPr>
          </w:p>
        </w:tc>
      </w:tr>
    </w:tbl>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7528368"/>
    </w:sdtPr>
    <w:sdtContent>
      <w:p>
        <w:pPr>
          <w:pStyle w:val="15"/>
          <w:jc w:val="center"/>
        </w:pPr>
        <w:r>
          <w:fldChar w:fldCharType="begin"/>
        </w:r>
        <w:r>
          <w:instrText xml:space="preserve">PAGE   \* MERGEFORMAT</w:instrText>
        </w:r>
        <w:r>
          <w:fldChar w:fldCharType="separate"/>
        </w:r>
        <w:r>
          <w:rPr>
            <w:lang w:val="zh-CN"/>
          </w:rPr>
          <w:t>3</w:t>
        </w:r>
        <w:r>
          <w:rPr>
            <w:lang w:val="zh-CN"/>
          </w:rPr>
          <w:fldChar w:fldCharType="end"/>
        </w:r>
      </w:p>
    </w:sdtContent>
  </w:sdt>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535"/>
        <w:tab w:val="clear" w:pos="4153"/>
      </w:tabs>
    </w:pPr>
    <w:r>
      <w:pict>
        <v:shape id="文本框 9" o:spid="_x0000_s2049" o:spt="202" type="#_x0000_t202" style="position:absolute;left:0pt;margin-top:0pt;height:10.35pt;width:4.55pt;mso-position-horizontal:center;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&#1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16</w:t>
    </w:r>
    <w:r>
      <w:rPr>
        <w:lang w:val="zh-CN"/>
      </w:rPr>
      <w:fldChar w:fldCharType="end"/>
    </w:r>
  </w:p>
  <w:p>
    <w:pPr>
      <w:pStyle w:val="15"/>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31E7"/>
    <w:multiLevelType w:val="multilevel"/>
    <w:tmpl w:val="02CA31E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4FB1FED"/>
    <w:multiLevelType w:val="multilevel"/>
    <w:tmpl w:val="44FB1F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F0416"/>
    <w:rsid w:val="000004A5"/>
    <w:rsid w:val="00000828"/>
    <w:rsid w:val="00001372"/>
    <w:rsid w:val="00001D1F"/>
    <w:rsid w:val="000022C6"/>
    <w:rsid w:val="00002E83"/>
    <w:rsid w:val="000033BD"/>
    <w:rsid w:val="00003D08"/>
    <w:rsid w:val="0000406F"/>
    <w:rsid w:val="00004216"/>
    <w:rsid w:val="00004441"/>
    <w:rsid w:val="00005136"/>
    <w:rsid w:val="000057F0"/>
    <w:rsid w:val="00005983"/>
    <w:rsid w:val="00005C7C"/>
    <w:rsid w:val="00005EB0"/>
    <w:rsid w:val="00006AC1"/>
    <w:rsid w:val="00006CEB"/>
    <w:rsid w:val="0000716E"/>
    <w:rsid w:val="0001079F"/>
    <w:rsid w:val="00010AF9"/>
    <w:rsid w:val="00010F4F"/>
    <w:rsid w:val="000119A3"/>
    <w:rsid w:val="000131E2"/>
    <w:rsid w:val="000138F5"/>
    <w:rsid w:val="00013DA7"/>
    <w:rsid w:val="00013EDF"/>
    <w:rsid w:val="000154D8"/>
    <w:rsid w:val="0001664D"/>
    <w:rsid w:val="00016A63"/>
    <w:rsid w:val="00016A9F"/>
    <w:rsid w:val="00017369"/>
    <w:rsid w:val="0002062C"/>
    <w:rsid w:val="00020746"/>
    <w:rsid w:val="00020B1C"/>
    <w:rsid w:val="00021016"/>
    <w:rsid w:val="0002377D"/>
    <w:rsid w:val="00023CD0"/>
    <w:rsid w:val="00023F30"/>
    <w:rsid w:val="000241CC"/>
    <w:rsid w:val="00024A4C"/>
    <w:rsid w:val="00025219"/>
    <w:rsid w:val="00026523"/>
    <w:rsid w:val="000273E5"/>
    <w:rsid w:val="00027E39"/>
    <w:rsid w:val="00030238"/>
    <w:rsid w:val="000305AC"/>
    <w:rsid w:val="00032347"/>
    <w:rsid w:val="000329F9"/>
    <w:rsid w:val="000335D2"/>
    <w:rsid w:val="00033700"/>
    <w:rsid w:val="00033B63"/>
    <w:rsid w:val="00033DCD"/>
    <w:rsid w:val="000342BD"/>
    <w:rsid w:val="000343F0"/>
    <w:rsid w:val="00034789"/>
    <w:rsid w:val="000353F5"/>
    <w:rsid w:val="00035DF7"/>
    <w:rsid w:val="0003611C"/>
    <w:rsid w:val="0003640F"/>
    <w:rsid w:val="00037F7E"/>
    <w:rsid w:val="00041E58"/>
    <w:rsid w:val="00041FFC"/>
    <w:rsid w:val="0004217F"/>
    <w:rsid w:val="0004273D"/>
    <w:rsid w:val="00042AD4"/>
    <w:rsid w:val="00043F0F"/>
    <w:rsid w:val="00044989"/>
    <w:rsid w:val="00047D65"/>
    <w:rsid w:val="00047DC1"/>
    <w:rsid w:val="000505FE"/>
    <w:rsid w:val="00050727"/>
    <w:rsid w:val="000508DC"/>
    <w:rsid w:val="0005148A"/>
    <w:rsid w:val="000521C4"/>
    <w:rsid w:val="00052AF9"/>
    <w:rsid w:val="00054738"/>
    <w:rsid w:val="00054C88"/>
    <w:rsid w:val="00054ED3"/>
    <w:rsid w:val="000559E6"/>
    <w:rsid w:val="00057047"/>
    <w:rsid w:val="0005766A"/>
    <w:rsid w:val="000616DE"/>
    <w:rsid w:val="0006217D"/>
    <w:rsid w:val="00062878"/>
    <w:rsid w:val="00062937"/>
    <w:rsid w:val="000631F4"/>
    <w:rsid w:val="00064B3E"/>
    <w:rsid w:val="000655C1"/>
    <w:rsid w:val="00065F1F"/>
    <w:rsid w:val="0006736D"/>
    <w:rsid w:val="000675F0"/>
    <w:rsid w:val="00067963"/>
    <w:rsid w:val="00067ED1"/>
    <w:rsid w:val="00067FBB"/>
    <w:rsid w:val="000700FF"/>
    <w:rsid w:val="000707FE"/>
    <w:rsid w:val="00070FFB"/>
    <w:rsid w:val="000710D0"/>
    <w:rsid w:val="00071920"/>
    <w:rsid w:val="00072082"/>
    <w:rsid w:val="0007243A"/>
    <w:rsid w:val="0007273C"/>
    <w:rsid w:val="0007285B"/>
    <w:rsid w:val="000756C9"/>
    <w:rsid w:val="00075AE8"/>
    <w:rsid w:val="00076115"/>
    <w:rsid w:val="0007661A"/>
    <w:rsid w:val="00077B2B"/>
    <w:rsid w:val="00077D20"/>
    <w:rsid w:val="0008043C"/>
    <w:rsid w:val="000806DC"/>
    <w:rsid w:val="00080E41"/>
    <w:rsid w:val="00081038"/>
    <w:rsid w:val="0008176A"/>
    <w:rsid w:val="00081C52"/>
    <w:rsid w:val="00082B7A"/>
    <w:rsid w:val="00083AD8"/>
    <w:rsid w:val="00084431"/>
    <w:rsid w:val="00084BBE"/>
    <w:rsid w:val="00085401"/>
    <w:rsid w:val="000860F7"/>
    <w:rsid w:val="00086A7F"/>
    <w:rsid w:val="000871E0"/>
    <w:rsid w:val="00087CD7"/>
    <w:rsid w:val="00087D69"/>
    <w:rsid w:val="00090C5F"/>
    <w:rsid w:val="00091ABF"/>
    <w:rsid w:val="00091C11"/>
    <w:rsid w:val="0009332B"/>
    <w:rsid w:val="00094273"/>
    <w:rsid w:val="000946D6"/>
    <w:rsid w:val="00094F3A"/>
    <w:rsid w:val="00095847"/>
    <w:rsid w:val="00095AEB"/>
    <w:rsid w:val="00095F82"/>
    <w:rsid w:val="00096955"/>
    <w:rsid w:val="00096EAE"/>
    <w:rsid w:val="00097C1D"/>
    <w:rsid w:val="00097EDE"/>
    <w:rsid w:val="000A0851"/>
    <w:rsid w:val="000A0F0C"/>
    <w:rsid w:val="000A2A82"/>
    <w:rsid w:val="000A3F92"/>
    <w:rsid w:val="000A54C8"/>
    <w:rsid w:val="000A6157"/>
    <w:rsid w:val="000A7503"/>
    <w:rsid w:val="000A7DDE"/>
    <w:rsid w:val="000A7EEB"/>
    <w:rsid w:val="000B01EB"/>
    <w:rsid w:val="000B0552"/>
    <w:rsid w:val="000B0F27"/>
    <w:rsid w:val="000B1C5E"/>
    <w:rsid w:val="000B251C"/>
    <w:rsid w:val="000B291F"/>
    <w:rsid w:val="000B2E23"/>
    <w:rsid w:val="000B3352"/>
    <w:rsid w:val="000B39B4"/>
    <w:rsid w:val="000B4536"/>
    <w:rsid w:val="000B47CB"/>
    <w:rsid w:val="000B4AC0"/>
    <w:rsid w:val="000B4CA7"/>
    <w:rsid w:val="000B53AA"/>
    <w:rsid w:val="000B55BA"/>
    <w:rsid w:val="000B5762"/>
    <w:rsid w:val="000B7939"/>
    <w:rsid w:val="000B79B7"/>
    <w:rsid w:val="000C02B9"/>
    <w:rsid w:val="000C0AEF"/>
    <w:rsid w:val="000C146D"/>
    <w:rsid w:val="000C1F74"/>
    <w:rsid w:val="000C2AE7"/>
    <w:rsid w:val="000C4169"/>
    <w:rsid w:val="000C56AA"/>
    <w:rsid w:val="000C652E"/>
    <w:rsid w:val="000C6DC7"/>
    <w:rsid w:val="000C745F"/>
    <w:rsid w:val="000C7631"/>
    <w:rsid w:val="000C78DD"/>
    <w:rsid w:val="000D0292"/>
    <w:rsid w:val="000D0AA2"/>
    <w:rsid w:val="000D192B"/>
    <w:rsid w:val="000D19B9"/>
    <w:rsid w:val="000D21AA"/>
    <w:rsid w:val="000D3393"/>
    <w:rsid w:val="000D41B3"/>
    <w:rsid w:val="000D4CFA"/>
    <w:rsid w:val="000D4EA2"/>
    <w:rsid w:val="000D5195"/>
    <w:rsid w:val="000D67CC"/>
    <w:rsid w:val="000D6C8E"/>
    <w:rsid w:val="000D6CD4"/>
    <w:rsid w:val="000D75E3"/>
    <w:rsid w:val="000E00C7"/>
    <w:rsid w:val="000E0494"/>
    <w:rsid w:val="000E1714"/>
    <w:rsid w:val="000E1C30"/>
    <w:rsid w:val="000E233C"/>
    <w:rsid w:val="000E24D4"/>
    <w:rsid w:val="000E2D01"/>
    <w:rsid w:val="000E3AFE"/>
    <w:rsid w:val="000E4090"/>
    <w:rsid w:val="000E5CAC"/>
    <w:rsid w:val="000E713F"/>
    <w:rsid w:val="000E725A"/>
    <w:rsid w:val="000E7D96"/>
    <w:rsid w:val="000F0830"/>
    <w:rsid w:val="000F12CD"/>
    <w:rsid w:val="000F1394"/>
    <w:rsid w:val="000F148F"/>
    <w:rsid w:val="000F2E23"/>
    <w:rsid w:val="000F2E4D"/>
    <w:rsid w:val="000F35C4"/>
    <w:rsid w:val="000F4453"/>
    <w:rsid w:val="000F458C"/>
    <w:rsid w:val="000F4A8C"/>
    <w:rsid w:val="000F5C8D"/>
    <w:rsid w:val="000F7A6B"/>
    <w:rsid w:val="001008C6"/>
    <w:rsid w:val="00101141"/>
    <w:rsid w:val="00102528"/>
    <w:rsid w:val="0010285F"/>
    <w:rsid w:val="001030E8"/>
    <w:rsid w:val="0010323C"/>
    <w:rsid w:val="00103512"/>
    <w:rsid w:val="00104A3F"/>
    <w:rsid w:val="00106CE4"/>
    <w:rsid w:val="00107A4D"/>
    <w:rsid w:val="0011059A"/>
    <w:rsid w:val="00110826"/>
    <w:rsid w:val="00111F0A"/>
    <w:rsid w:val="00112F0E"/>
    <w:rsid w:val="00113AEC"/>
    <w:rsid w:val="00114731"/>
    <w:rsid w:val="00114781"/>
    <w:rsid w:val="00116245"/>
    <w:rsid w:val="00117D02"/>
    <w:rsid w:val="001214C5"/>
    <w:rsid w:val="00122824"/>
    <w:rsid w:val="0012295D"/>
    <w:rsid w:val="00123821"/>
    <w:rsid w:val="001240FF"/>
    <w:rsid w:val="001241AF"/>
    <w:rsid w:val="001242CC"/>
    <w:rsid w:val="00124879"/>
    <w:rsid w:val="00127080"/>
    <w:rsid w:val="00127093"/>
    <w:rsid w:val="00130945"/>
    <w:rsid w:val="00131E63"/>
    <w:rsid w:val="00132CF4"/>
    <w:rsid w:val="001332DA"/>
    <w:rsid w:val="001341D5"/>
    <w:rsid w:val="001343DF"/>
    <w:rsid w:val="00134BFB"/>
    <w:rsid w:val="0013507D"/>
    <w:rsid w:val="00135642"/>
    <w:rsid w:val="00135A03"/>
    <w:rsid w:val="00135A04"/>
    <w:rsid w:val="00135FED"/>
    <w:rsid w:val="00136CF1"/>
    <w:rsid w:val="00136EED"/>
    <w:rsid w:val="0014033C"/>
    <w:rsid w:val="00140FAB"/>
    <w:rsid w:val="00141A02"/>
    <w:rsid w:val="0014320C"/>
    <w:rsid w:val="001433A8"/>
    <w:rsid w:val="0014390C"/>
    <w:rsid w:val="00144D17"/>
    <w:rsid w:val="001461D7"/>
    <w:rsid w:val="00147121"/>
    <w:rsid w:val="00147C0D"/>
    <w:rsid w:val="00150F6A"/>
    <w:rsid w:val="0015148F"/>
    <w:rsid w:val="00151E7A"/>
    <w:rsid w:val="00152345"/>
    <w:rsid w:val="00152DE9"/>
    <w:rsid w:val="001532B4"/>
    <w:rsid w:val="001539EA"/>
    <w:rsid w:val="00153A5F"/>
    <w:rsid w:val="00154541"/>
    <w:rsid w:val="00154760"/>
    <w:rsid w:val="00154944"/>
    <w:rsid w:val="00155708"/>
    <w:rsid w:val="0015582B"/>
    <w:rsid w:val="0015765E"/>
    <w:rsid w:val="00157F12"/>
    <w:rsid w:val="0016076F"/>
    <w:rsid w:val="001607A0"/>
    <w:rsid w:val="001618F0"/>
    <w:rsid w:val="00162125"/>
    <w:rsid w:val="0016620D"/>
    <w:rsid w:val="00166456"/>
    <w:rsid w:val="00167533"/>
    <w:rsid w:val="00167577"/>
    <w:rsid w:val="00167F92"/>
    <w:rsid w:val="001709E5"/>
    <w:rsid w:val="001711E0"/>
    <w:rsid w:val="00171852"/>
    <w:rsid w:val="00172EF4"/>
    <w:rsid w:val="001733BF"/>
    <w:rsid w:val="0017369E"/>
    <w:rsid w:val="00173A94"/>
    <w:rsid w:val="00173B60"/>
    <w:rsid w:val="00173C24"/>
    <w:rsid w:val="001744E2"/>
    <w:rsid w:val="0017589F"/>
    <w:rsid w:val="0017602B"/>
    <w:rsid w:val="001760A6"/>
    <w:rsid w:val="001760AC"/>
    <w:rsid w:val="00177BAB"/>
    <w:rsid w:val="00180C02"/>
    <w:rsid w:val="00180DB1"/>
    <w:rsid w:val="00181166"/>
    <w:rsid w:val="00181E97"/>
    <w:rsid w:val="00182DD2"/>
    <w:rsid w:val="00183FA9"/>
    <w:rsid w:val="001842ED"/>
    <w:rsid w:val="001868B9"/>
    <w:rsid w:val="00186F74"/>
    <w:rsid w:val="0018715F"/>
    <w:rsid w:val="001871A0"/>
    <w:rsid w:val="001914A4"/>
    <w:rsid w:val="0019261F"/>
    <w:rsid w:val="00193664"/>
    <w:rsid w:val="00193ACF"/>
    <w:rsid w:val="00193FE0"/>
    <w:rsid w:val="001941F2"/>
    <w:rsid w:val="00194C84"/>
    <w:rsid w:val="00195316"/>
    <w:rsid w:val="0019540E"/>
    <w:rsid w:val="0019616E"/>
    <w:rsid w:val="00196DA3"/>
    <w:rsid w:val="001970EC"/>
    <w:rsid w:val="0019743B"/>
    <w:rsid w:val="001A0417"/>
    <w:rsid w:val="001A0DD5"/>
    <w:rsid w:val="001A131C"/>
    <w:rsid w:val="001A18EC"/>
    <w:rsid w:val="001A1ADF"/>
    <w:rsid w:val="001A1FA4"/>
    <w:rsid w:val="001A220C"/>
    <w:rsid w:val="001A37C4"/>
    <w:rsid w:val="001A3CB5"/>
    <w:rsid w:val="001A427B"/>
    <w:rsid w:val="001A53CC"/>
    <w:rsid w:val="001A65D0"/>
    <w:rsid w:val="001A7A71"/>
    <w:rsid w:val="001B0698"/>
    <w:rsid w:val="001B06CD"/>
    <w:rsid w:val="001B0E4C"/>
    <w:rsid w:val="001B134A"/>
    <w:rsid w:val="001B1491"/>
    <w:rsid w:val="001B1FCB"/>
    <w:rsid w:val="001B206E"/>
    <w:rsid w:val="001B2253"/>
    <w:rsid w:val="001B2CE9"/>
    <w:rsid w:val="001B3754"/>
    <w:rsid w:val="001B47CB"/>
    <w:rsid w:val="001B5EAF"/>
    <w:rsid w:val="001B5F08"/>
    <w:rsid w:val="001B6B8C"/>
    <w:rsid w:val="001B7417"/>
    <w:rsid w:val="001B7815"/>
    <w:rsid w:val="001B7F54"/>
    <w:rsid w:val="001C17CF"/>
    <w:rsid w:val="001C2643"/>
    <w:rsid w:val="001C34CB"/>
    <w:rsid w:val="001C36E3"/>
    <w:rsid w:val="001C3729"/>
    <w:rsid w:val="001C3B21"/>
    <w:rsid w:val="001C3BFE"/>
    <w:rsid w:val="001C3E15"/>
    <w:rsid w:val="001C469E"/>
    <w:rsid w:val="001C5F82"/>
    <w:rsid w:val="001C6027"/>
    <w:rsid w:val="001C6F00"/>
    <w:rsid w:val="001C7278"/>
    <w:rsid w:val="001C789B"/>
    <w:rsid w:val="001D042F"/>
    <w:rsid w:val="001D05AF"/>
    <w:rsid w:val="001D0B7A"/>
    <w:rsid w:val="001D1EDE"/>
    <w:rsid w:val="001D2A22"/>
    <w:rsid w:val="001D3385"/>
    <w:rsid w:val="001D3DFE"/>
    <w:rsid w:val="001D5454"/>
    <w:rsid w:val="001D5FE3"/>
    <w:rsid w:val="001D69A0"/>
    <w:rsid w:val="001D765A"/>
    <w:rsid w:val="001E0426"/>
    <w:rsid w:val="001E0F59"/>
    <w:rsid w:val="001E13D3"/>
    <w:rsid w:val="001E1D5B"/>
    <w:rsid w:val="001E21FB"/>
    <w:rsid w:val="001E27D5"/>
    <w:rsid w:val="001E2B18"/>
    <w:rsid w:val="001E38E5"/>
    <w:rsid w:val="001E3E87"/>
    <w:rsid w:val="001E3FB3"/>
    <w:rsid w:val="001E440C"/>
    <w:rsid w:val="001E6BCF"/>
    <w:rsid w:val="001E71CC"/>
    <w:rsid w:val="001E7844"/>
    <w:rsid w:val="001E7A21"/>
    <w:rsid w:val="001F031C"/>
    <w:rsid w:val="001F04C3"/>
    <w:rsid w:val="001F1879"/>
    <w:rsid w:val="001F1CEC"/>
    <w:rsid w:val="001F31B1"/>
    <w:rsid w:val="001F4603"/>
    <w:rsid w:val="001F4718"/>
    <w:rsid w:val="001F4FEE"/>
    <w:rsid w:val="001F513C"/>
    <w:rsid w:val="001F5FF1"/>
    <w:rsid w:val="00200F53"/>
    <w:rsid w:val="00201644"/>
    <w:rsid w:val="0020190D"/>
    <w:rsid w:val="00202561"/>
    <w:rsid w:val="00203CFA"/>
    <w:rsid w:val="00204669"/>
    <w:rsid w:val="00206701"/>
    <w:rsid w:val="00206F0D"/>
    <w:rsid w:val="00206F54"/>
    <w:rsid w:val="002102D4"/>
    <w:rsid w:val="00210E2F"/>
    <w:rsid w:val="002110ED"/>
    <w:rsid w:val="002112A2"/>
    <w:rsid w:val="002124C3"/>
    <w:rsid w:val="0021303B"/>
    <w:rsid w:val="002137F7"/>
    <w:rsid w:val="00213AFE"/>
    <w:rsid w:val="00213FF0"/>
    <w:rsid w:val="0021403F"/>
    <w:rsid w:val="0021489C"/>
    <w:rsid w:val="00214CE3"/>
    <w:rsid w:val="00214E9F"/>
    <w:rsid w:val="0021507D"/>
    <w:rsid w:val="00215B1D"/>
    <w:rsid w:val="00216509"/>
    <w:rsid w:val="00216BA5"/>
    <w:rsid w:val="002218B9"/>
    <w:rsid w:val="0022227A"/>
    <w:rsid w:val="00222655"/>
    <w:rsid w:val="00223BE6"/>
    <w:rsid w:val="00224977"/>
    <w:rsid w:val="00224CE4"/>
    <w:rsid w:val="00225FDA"/>
    <w:rsid w:val="0022602A"/>
    <w:rsid w:val="002264CF"/>
    <w:rsid w:val="00226FA5"/>
    <w:rsid w:val="002276F2"/>
    <w:rsid w:val="00227BA3"/>
    <w:rsid w:val="00227E8B"/>
    <w:rsid w:val="00231504"/>
    <w:rsid w:val="00232135"/>
    <w:rsid w:val="0023307B"/>
    <w:rsid w:val="002331C7"/>
    <w:rsid w:val="00234626"/>
    <w:rsid w:val="002350BB"/>
    <w:rsid w:val="00235931"/>
    <w:rsid w:val="002360CE"/>
    <w:rsid w:val="00236FF2"/>
    <w:rsid w:val="0024072B"/>
    <w:rsid w:val="00240770"/>
    <w:rsid w:val="00240A03"/>
    <w:rsid w:val="00240A85"/>
    <w:rsid w:val="0024153F"/>
    <w:rsid w:val="00241B92"/>
    <w:rsid w:val="002431B9"/>
    <w:rsid w:val="00243313"/>
    <w:rsid w:val="0024379E"/>
    <w:rsid w:val="0024408C"/>
    <w:rsid w:val="0024494B"/>
    <w:rsid w:val="0024587C"/>
    <w:rsid w:val="00245ED6"/>
    <w:rsid w:val="002469D3"/>
    <w:rsid w:val="00246BBC"/>
    <w:rsid w:val="00250882"/>
    <w:rsid w:val="0025274A"/>
    <w:rsid w:val="00255AD5"/>
    <w:rsid w:val="002563B5"/>
    <w:rsid w:val="0025694E"/>
    <w:rsid w:val="0025713E"/>
    <w:rsid w:val="00257244"/>
    <w:rsid w:val="00257B33"/>
    <w:rsid w:val="002604C8"/>
    <w:rsid w:val="00260600"/>
    <w:rsid w:val="002607C2"/>
    <w:rsid w:val="00260D44"/>
    <w:rsid w:val="00261480"/>
    <w:rsid w:val="00261B40"/>
    <w:rsid w:val="00261DA4"/>
    <w:rsid w:val="002626C3"/>
    <w:rsid w:val="00263068"/>
    <w:rsid w:val="0026341E"/>
    <w:rsid w:val="00263BA2"/>
    <w:rsid w:val="00263CDB"/>
    <w:rsid w:val="002649D0"/>
    <w:rsid w:val="002655F0"/>
    <w:rsid w:val="002676EF"/>
    <w:rsid w:val="00267803"/>
    <w:rsid w:val="00270874"/>
    <w:rsid w:val="0027223A"/>
    <w:rsid w:val="0027246C"/>
    <w:rsid w:val="00273388"/>
    <w:rsid w:val="00273A0F"/>
    <w:rsid w:val="002753F4"/>
    <w:rsid w:val="00276AFB"/>
    <w:rsid w:val="00276CA5"/>
    <w:rsid w:val="00277174"/>
    <w:rsid w:val="0028178C"/>
    <w:rsid w:val="002852A4"/>
    <w:rsid w:val="00285BBC"/>
    <w:rsid w:val="00285FB8"/>
    <w:rsid w:val="0028603B"/>
    <w:rsid w:val="00286867"/>
    <w:rsid w:val="0028795D"/>
    <w:rsid w:val="0029179D"/>
    <w:rsid w:val="00292155"/>
    <w:rsid w:val="002925ED"/>
    <w:rsid w:val="00293880"/>
    <w:rsid w:val="002945FF"/>
    <w:rsid w:val="002958B5"/>
    <w:rsid w:val="00295BCC"/>
    <w:rsid w:val="00296004"/>
    <w:rsid w:val="0029648E"/>
    <w:rsid w:val="002A08A1"/>
    <w:rsid w:val="002A148C"/>
    <w:rsid w:val="002A28ED"/>
    <w:rsid w:val="002A2BD0"/>
    <w:rsid w:val="002A2E46"/>
    <w:rsid w:val="002A33A8"/>
    <w:rsid w:val="002A3D58"/>
    <w:rsid w:val="002A4E2E"/>
    <w:rsid w:val="002A4EC1"/>
    <w:rsid w:val="002A5EE8"/>
    <w:rsid w:val="002A5F31"/>
    <w:rsid w:val="002A797E"/>
    <w:rsid w:val="002B0FD4"/>
    <w:rsid w:val="002B1780"/>
    <w:rsid w:val="002B1A83"/>
    <w:rsid w:val="002B3EF5"/>
    <w:rsid w:val="002B4B14"/>
    <w:rsid w:val="002B4F12"/>
    <w:rsid w:val="002B5ADA"/>
    <w:rsid w:val="002B70CB"/>
    <w:rsid w:val="002B755D"/>
    <w:rsid w:val="002C1F3D"/>
    <w:rsid w:val="002C21DD"/>
    <w:rsid w:val="002C281C"/>
    <w:rsid w:val="002C2C2B"/>
    <w:rsid w:val="002C2E7C"/>
    <w:rsid w:val="002C2F82"/>
    <w:rsid w:val="002C4E15"/>
    <w:rsid w:val="002C5C45"/>
    <w:rsid w:val="002C6D18"/>
    <w:rsid w:val="002C6D3F"/>
    <w:rsid w:val="002C7D69"/>
    <w:rsid w:val="002D058C"/>
    <w:rsid w:val="002D0734"/>
    <w:rsid w:val="002D073F"/>
    <w:rsid w:val="002D142B"/>
    <w:rsid w:val="002D296F"/>
    <w:rsid w:val="002D2A2C"/>
    <w:rsid w:val="002D2C8E"/>
    <w:rsid w:val="002D36F4"/>
    <w:rsid w:val="002D3A10"/>
    <w:rsid w:val="002D4097"/>
    <w:rsid w:val="002D58E8"/>
    <w:rsid w:val="002D6202"/>
    <w:rsid w:val="002D7B42"/>
    <w:rsid w:val="002E2178"/>
    <w:rsid w:val="002E22A0"/>
    <w:rsid w:val="002E24D6"/>
    <w:rsid w:val="002E3CC1"/>
    <w:rsid w:val="002E4291"/>
    <w:rsid w:val="002E61FB"/>
    <w:rsid w:val="002E6285"/>
    <w:rsid w:val="002E7B5A"/>
    <w:rsid w:val="002E7ED4"/>
    <w:rsid w:val="002F057D"/>
    <w:rsid w:val="002F13FA"/>
    <w:rsid w:val="002F1658"/>
    <w:rsid w:val="002F339E"/>
    <w:rsid w:val="002F39B8"/>
    <w:rsid w:val="002F40A6"/>
    <w:rsid w:val="002F40C5"/>
    <w:rsid w:val="002F5DB4"/>
    <w:rsid w:val="002F67B6"/>
    <w:rsid w:val="002F793A"/>
    <w:rsid w:val="00301417"/>
    <w:rsid w:val="003016EA"/>
    <w:rsid w:val="0030192C"/>
    <w:rsid w:val="00301A26"/>
    <w:rsid w:val="003025A2"/>
    <w:rsid w:val="0030270A"/>
    <w:rsid w:val="00304A40"/>
    <w:rsid w:val="00306353"/>
    <w:rsid w:val="003077C9"/>
    <w:rsid w:val="00307A99"/>
    <w:rsid w:val="00307B47"/>
    <w:rsid w:val="00307DF3"/>
    <w:rsid w:val="00312100"/>
    <w:rsid w:val="003122F0"/>
    <w:rsid w:val="00313A43"/>
    <w:rsid w:val="00313F26"/>
    <w:rsid w:val="00314ED1"/>
    <w:rsid w:val="00315923"/>
    <w:rsid w:val="00315DE6"/>
    <w:rsid w:val="00315EEB"/>
    <w:rsid w:val="0031722A"/>
    <w:rsid w:val="00317CAA"/>
    <w:rsid w:val="00317CC6"/>
    <w:rsid w:val="0032195F"/>
    <w:rsid w:val="00321EA4"/>
    <w:rsid w:val="00322AFB"/>
    <w:rsid w:val="00323041"/>
    <w:rsid w:val="0032335F"/>
    <w:rsid w:val="00324813"/>
    <w:rsid w:val="00324D81"/>
    <w:rsid w:val="00326082"/>
    <w:rsid w:val="003312E0"/>
    <w:rsid w:val="003316C5"/>
    <w:rsid w:val="00332002"/>
    <w:rsid w:val="00332107"/>
    <w:rsid w:val="0033385C"/>
    <w:rsid w:val="00334087"/>
    <w:rsid w:val="0033423E"/>
    <w:rsid w:val="00334527"/>
    <w:rsid w:val="0033458A"/>
    <w:rsid w:val="00334A53"/>
    <w:rsid w:val="00334B0C"/>
    <w:rsid w:val="00334CD9"/>
    <w:rsid w:val="00334F59"/>
    <w:rsid w:val="00334F87"/>
    <w:rsid w:val="003361BA"/>
    <w:rsid w:val="00337BD5"/>
    <w:rsid w:val="00337F93"/>
    <w:rsid w:val="00340C14"/>
    <w:rsid w:val="0034203B"/>
    <w:rsid w:val="003420D5"/>
    <w:rsid w:val="0034332A"/>
    <w:rsid w:val="0034385C"/>
    <w:rsid w:val="003440CB"/>
    <w:rsid w:val="0034413B"/>
    <w:rsid w:val="00344DE2"/>
    <w:rsid w:val="00344F46"/>
    <w:rsid w:val="003461A8"/>
    <w:rsid w:val="00346480"/>
    <w:rsid w:val="00346CE9"/>
    <w:rsid w:val="0034722A"/>
    <w:rsid w:val="0034726A"/>
    <w:rsid w:val="00347283"/>
    <w:rsid w:val="003503FE"/>
    <w:rsid w:val="003511C8"/>
    <w:rsid w:val="003514E9"/>
    <w:rsid w:val="00351A55"/>
    <w:rsid w:val="00352725"/>
    <w:rsid w:val="003546BE"/>
    <w:rsid w:val="00355234"/>
    <w:rsid w:val="00355473"/>
    <w:rsid w:val="003575B4"/>
    <w:rsid w:val="003576FD"/>
    <w:rsid w:val="0036017E"/>
    <w:rsid w:val="003601A7"/>
    <w:rsid w:val="003615A8"/>
    <w:rsid w:val="00361BF2"/>
    <w:rsid w:val="003620D8"/>
    <w:rsid w:val="0036236D"/>
    <w:rsid w:val="0036242D"/>
    <w:rsid w:val="003626C2"/>
    <w:rsid w:val="00363405"/>
    <w:rsid w:val="00363C72"/>
    <w:rsid w:val="00364696"/>
    <w:rsid w:val="00364C01"/>
    <w:rsid w:val="00366AAD"/>
    <w:rsid w:val="00366B7E"/>
    <w:rsid w:val="00366CE8"/>
    <w:rsid w:val="00367883"/>
    <w:rsid w:val="0037070D"/>
    <w:rsid w:val="00373A26"/>
    <w:rsid w:val="0037619A"/>
    <w:rsid w:val="0037663A"/>
    <w:rsid w:val="00376BB2"/>
    <w:rsid w:val="00377043"/>
    <w:rsid w:val="00377A0D"/>
    <w:rsid w:val="00380259"/>
    <w:rsid w:val="00380C9F"/>
    <w:rsid w:val="0038166A"/>
    <w:rsid w:val="00381ECE"/>
    <w:rsid w:val="00381FB7"/>
    <w:rsid w:val="00383021"/>
    <w:rsid w:val="003832D7"/>
    <w:rsid w:val="003834F2"/>
    <w:rsid w:val="0038383E"/>
    <w:rsid w:val="0038389E"/>
    <w:rsid w:val="00384574"/>
    <w:rsid w:val="00384664"/>
    <w:rsid w:val="00384AC1"/>
    <w:rsid w:val="0038559D"/>
    <w:rsid w:val="003859FA"/>
    <w:rsid w:val="003862B4"/>
    <w:rsid w:val="003877C1"/>
    <w:rsid w:val="0038785C"/>
    <w:rsid w:val="00390314"/>
    <w:rsid w:val="003906AB"/>
    <w:rsid w:val="00390A03"/>
    <w:rsid w:val="00390E23"/>
    <w:rsid w:val="00391C5E"/>
    <w:rsid w:val="003920EC"/>
    <w:rsid w:val="0039255D"/>
    <w:rsid w:val="003928CA"/>
    <w:rsid w:val="0039351A"/>
    <w:rsid w:val="00394517"/>
    <w:rsid w:val="00394CB0"/>
    <w:rsid w:val="00394F74"/>
    <w:rsid w:val="003956F9"/>
    <w:rsid w:val="0039574B"/>
    <w:rsid w:val="003961E9"/>
    <w:rsid w:val="00396222"/>
    <w:rsid w:val="003967A7"/>
    <w:rsid w:val="003969E4"/>
    <w:rsid w:val="00396F77"/>
    <w:rsid w:val="003A06FC"/>
    <w:rsid w:val="003A0A49"/>
    <w:rsid w:val="003A1743"/>
    <w:rsid w:val="003A19FE"/>
    <w:rsid w:val="003A1D7E"/>
    <w:rsid w:val="003A210F"/>
    <w:rsid w:val="003A2348"/>
    <w:rsid w:val="003A29A0"/>
    <w:rsid w:val="003A2EC9"/>
    <w:rsid w:val="003A31ED"/>
    <w:rsid w:val="003A332E"/>
    <w:rsid w:val="003A35B3"/>
    <w:rsid w:val="003A4A89"/>
    <w:rsid w:val="003A566D"/>
    <w:rsid w:val="003A57A6"/>
    <w:rsid w:val="003A5AAC"/>
    <w:rsid w:val="003A5E0A"/>
    <w:rsid w:val="003A7A1E"/>
    <w:rsid w:val="003A7E65"/>
    <w:rsid w:val="003B2BF9"/>
    <w:rsid w:val="003B2CA7"/>
    <w:rsid w:val="003B47CC"/>
    <w:rsid w:val="003B4CCB"/>
    <w:rsid w:val="003B4FC0"/>
    <w:rsid w:val="003B52EB"/>
    <w:rsid w:val="003B587F"/>
    <w:rsid w:val="003B60E0"/>
    <w:rsid w:val="003B6F8A"/>
    <w:rsid w:val="003B7316"/>
    <w:rsid w:val="003C0935"/>
    <w:rsid w:val="003C0961"/>
    <w:rsid w:val="003C13AE"/>
    <w:rsid w:val="003C1BF3"/>
    <w:rsid w:val="003C231A"/>
    <w:rsid w:val="003C2D53"/>
    <w:rsid w:val="003C4947"/>
    <w:rsid w:val="003C4FCE"/>
    <w:rsid w:val="003C523D"/>
    <w:rsid w:val="003C5336"/>
    <w:rsid w:val="003C614E"/>
    <w:rsid w:val="003C67A1"/>
    <w:rsid w:val="003C78DF"/>
    <w:rsid w:val="003C79AC"/>
    <w:rsid w:val="003C7F89"/>
    <w:rsid w:val="003D0C13"/>
    <w:rsid w:val="003D1014"/>
    <w:rsid w:val="003D135C"/>
    <w:rsid w:val="003D48FE"/>
    <w:rsid w:val="003D4E8D"/>
    <w:rsid w:val="003D4FB9"/>
    <w:rsid w:val="003D5683"/>
    <w:rsid w:val="003D5FAD"/>
    <w:rsid w:val="003D6194"/>
    <w:rsid w:val="003D6321"/>
    <w:rsid w:val="003D661D"/>
    <w:rsid w:val="003D77FA"/>
    <w:rsid w:val="003D7982"/>
    <w:rsid w:val="003E00BA"/>
    <w:rsid w:val="003E0E16"/>
    <w:rsid w:val="003E1632"/>
    <w:rsid w:val="003E1965"/>
    <w:rsid w:val="003E2954"/>
    <w:rsid w:val="003E3324"/>
    <w:rsid w:val="003E426F"/>
    <w:rsid w:val="003E45DD"/>
    <w:rsid w:val="003E533E"/>
    <w:rsid w:val="003E597C"/>
    <w:rsid w:val="003E65D0"/>
    <w:rsid w:val="003E6BD8"/>
    <w:rsid w:val="003E7C37"/>
    <w:rsid w:val="003F03C5"/>
    <w:rsid w:val="003F0416"/>
    <w:rsid w:val="003F1444"/>
    <w:rsid w:val="003F1914"/>
    <w:rsid w:val="003F2BD1"/>
    <w:rsid w:val="003F396C"/>
    <w:rsid w:val="003F4822"/>
    <w:rsid w:val="003F5C1A"/>
    <w:rsid w:val="003F650D"/>
    <w:rsid w:val="003F7EDE"/>
    <w:rsid w:val="003F7EFC"/>
    <w:rsid w:val="00400609"/>
    <w:rsid w:val="00400EB4"/>
    <w:rsid w:val="0040219A"/>
    <w:rsid w:val="004026AC"/>
    <w:rsid w:val="004036E5"/>
    <w:rsid w:val="004038D8"/>
    <w:rsid w:val="00403F75"/>
    <w:rsid w:val="00404A8E"/>
    <w:rsid w:val="00404B47"/>
    <w:rsid w:val="00405870"/>
    <w:rsid w:val="004058BA"/>
    <w:rsid w:val="00406ACE"/>
    <w:rsid w:val="00406F7D"/>
    <w:rsid w:val="00407981"/>
    <w:rsid w:val="004106DC"/>
    <w:rsid w:val="00410D0D"/>
    <w:rsid w:val="004110CB"/>
    <w:rsid w:val="004112E4"/>
    <w:rsid w:val="00411B08"/>
    <w:rsid w:val="0041214D"/>
    <w:rsid w:val="004121DE"/>
    <w:rsid w:val="004127FA"/>
    <w:rsid w:val="004128ED"/>
    <w:rsid w:val="00412992"/>
    <w:rsid w:val="0041342C"/>
    <w:rsid w:val="0041355E"/>
    <w:rsid w:val="00413A6E"/>
    <w:rsid w:val="004150E4"/>
    <w:rsid w:val="00415792"/>
    <w:rsid w:val="00415B2C"/>
    <w:rsid w:val="00416487"/>
    <w:rsid w:val="00416519"/>
    <w:rsid w:val="00416785"/>
    <w:rsid w:val="0041681A"/>
    <w:rsid w:val="00416EE5"/>
    <w:rsid w:val="00417D01"/>
    <w:rsid w:val="00420F41"/>
    <w:rsid w:val="00421213"/>
    <w:rsid w:val="004215B9"/>
    <w:rsid w:val="00421EB4"/>
    <w:rsid w:val="00422A3E"/>
    <w:rsid w:val="00423073"/>
    <w:rsid w:val="004230C4"/>
    <w:rsid w:val="00423425"/>
    <w:rsid w:val="00423639"/>
    <w:rsid w:val="00423AD5"/>
    <w:rsid w:val="0042591B"/>
    <w:rsid w:val="00425D5B"/>
    <w:rsid w:val="00425E67"/>
    <w:rsid w:val="00431262"/>
    <w:rsid w:val="00433A43"/>
    <w:rsid w:val="00435255"/>
    <w:rsid w:val="0043525A"/>
    <w:rsid w:val="004352C5"/>
    <w:rsid w:val="004353F9"/>
    <w:rsid w:val="00435D18"/>
    <w:rsid w:val="00435DEE"/>
    <w:rsid w:val="004362AA"/>
    <w:rsid w:val="0043665D"/>
    <w:rsid w:val="0044007C"/>
    <w:rsid w:val="0044213D"/>
    <w:rsid w:val="004437C1"/>
    <w:rsid w:val="00443B35"/>
    <w:rsid w:val="00444A50"/>
    <w:rsid w:val="004455B4"/>
    <w:rsid w:val="004455E9"/>
    <w:rsid w:val="004456A4"/>
    <w:rsid w:val="00445FFC"/>
    <w:rsid w:val="004470AE"/>
    <w:rsid w:val="00447C27"/>
    <w:rsid w:val="00452DCF"/>
    <w:rsid w:val="0045414D"/>
    <w:rsid w:val="00454D5C"/>
    <w:rsid w:val="004560C2"/>
    <w:rsid w:val="00456EB9"/>
    <w:rsid w:val="00457EC1"/>
    <w:rsid w:val="00460049"/>
    <w:rsid w:val="00460410"/>
    <w:rsid w:val="0046042D"/>
    <w:rsid w:val="00460CCF"/>
    <w:rsid w:val="00462307"/>
    <w:rsid w:val="00462AF4"/>
    <w:rsid w:val="00462BFE"/>
    <w:rsid w:val="00462E29"/>
    <w:rsid w:val="0046315E"/>
    <w:rsid w:val="00463B83"/>
    <w:rsid w:val="00463C2A"/>
    <w:rsid w:val="00463E5C"/>
    <w:rsid w:val="00465016"/>
    <w:rsid w:val="00465B09"/>
    <w:rsid w:val="00465E35"/>
    <w:rsid w:val="00466C15"/>
    <w:rsid w:val="00466FD7"/>
    <w:rsid w:val="004670E1"/>
    <w:rsid w:val="00470191"/>
    <w:rsid w:val="004725FC"/>
    <w:rsid w:val="00472C6C"/>
    <w:rsid w:val="00472D63"/>
    <w:rsid w:val="00473374"/>
    <w:rsid w:val="004735EB"/>
    <w:rsid w:val="00473CC2"/>
    <w:rsid w:val="00473F22"/>
    <w:rsid w:val="004776A6"/>
    <w:rsid w:val="004776C1"/>
    <w:rsid w:val="00480374"/>
    <w:rsid w:val="00480988"/>
    <w:rsid w:val="00480EDB"/>
    <w:rsid w:val="00481734"/>
    <w:rsid w:val="00481CB8"/>
    <w:rsid w:val="004823F7"/>
    <w:rsid w:val="00482978"/>
    <w:rsid w:val="00483BE1"/>
    <w:rsid w:val="004842A5"/>
    <w:rsid w:val="0048438C"/>
    <w:rsid w:val="00484DF3"/>
    <w:rsid w:val="004858EF"/>
    <w:rsid w:val="00486372"/>
    <w:rsid w:val="004863B2"/>
    <w:rsid w:val="0048674E"/>
    <w:rsid w:val="00486A56"/>
    <w:rsid w:val="00487045"/>
    <w:rsid w:val="0048791B"/>
    <w:rsid w:val="00490094"/>
    <w:rsid w:val="00491974"/>
    <w:rsid w:val="004921EF"/>
    <w:rsid w:val="00492AA0"/>
    <w:rsid w:val="004937ED"/>
    <w:rsid w:val="00494743"/>
    <w:rsid w:val="004950EF"/>
    <w:rsid w:val="004955FE"/>
    <w:rsid w:val="0049612B"/>
    <w:rsid w:val="00496C4A"/>
    <w:rsid w:val="00497529"/>
    <w:rsid w:val="004A0DB1"/>
    <w:rsid w:val="004A209E"/>
    <w:rsid w:val="004A20ED"/>
    <w:rsid w:val="004A2375"/>
    <w:rsid w:val="004A2ED6"/>
    <w:rsid w:val="004A2F11"/>
    <w:rsid w:val="004A3BAF"/>
    <w:rsid w:val="004A400C"/>
    <w:rsid w:val="004A438F"/>
    <w:rsid w:val="004A4921"/>
    <w:rsid w:val="004A4DB8"/>
    <w:rsid w:val="004A5106"/>
    <w:rsid w:val="004A513E"/>
    <w:rsid w:val="004A5334"/>
    <w:rsid w:val="004A54FA"/>
    <w:rsid w:val="004A68A1"/>
    <w:rsid w:val="004A7647"/>
    <w:rsid w:val="004A7BD2"/>
    <w:rsid w:val="004A7D11"/>
    <w:rsid w:val="004B028E"/>
    <w:rsid w:val="004B0BCC"/>
    <w:rsid w:val="004B17BA"/>
    <w:rsid w:val="004B246D"/>
    <w:rsid w:val="004B25D7"/>
    <w:rsid w:val="004B4AB9"/>
    <w:rsid w:val="004B56C8"/>
    <w:rsid w:val="004B5B7B"/>
    <w:rsid w:val="004B5CAD"/>
    <w:rsid w:val="004B6296"/>
    <w:rsid w:val="004B6FF0"/>
    <w:rsid w:val="004B73D4"/>
    <w:rsid w:val="004B76C9"/>
    <w:rsid w:val="004B7AC8"/>
    <w:rsid w:val="004B7DFE"/>
    <w:rsid w:val="004C0113"/>
    <w:rsid w:val="004C02C2"/>
    <w:rsid w:val="004C1280"/>
    <w:rsid w:val="004C142B"/>
    <w:rsid w:val="004C16CF"/>
    <w:rsid w:val="004C1903"/>
    <w:rsid w:val="004C1A90"/>
    <w:rsid w:val="004C1E6F"/>
    <w:rsid w:val="004C2287"/>
    <w:rsid w:val="004C2A0F"/>
    <w:rsid w:val="004C4E95"/>
    <w:rsid w:val="004C5F75"/>
    <w:rsid w:val="004C689B"/>
    <w:rsid w:val="004C69AD"/>
    <w:rsid w:val="004C6F3B"/>
    <w:rsid w:val="004C73E5"/>
    <w:rsid w:val="004C76E3"/>
    <w:rsid w:val="004C7710"/>
    <w:rsid w:val="004C7B2F"/>
    <w:rsid w:val="004D01D4"/>
    <w:rsid w:val="004D1A5F"/>
    <w:rsid w:val="004D26A0"/>
    <w:rsid w:val="004D3BB1"/>
    <w:rsid w:val="004D3D08"/>
    <w:rsid w:val="004D6C80"/>
    <w:rsid w:val="004D7E10"/>
    <w:rsid w:val="004E004C"/>
    <w:rsid w:val="004E028A"/>
    <w:rsid w:val="004E0582"/>
    <w:rsid w:val="004E232E"/>
    <w:rsid w:val="004E2758"/>
    <w:rsid w:val="004E2CA3"/>
    <w:rsid w:val="004E2E30"/>
    <w:rsid w:val="004E383C"/>
    <w:rsid w:val="004E402E"/>
    <w:rsid w:val="004E441E"/>
    <w:rsid w:val="004E4DDD"/>
    <w:rsid w:val="004E6008"/>
    <w:rsid w:val="004E605F"/>
    <w:rsid w:val="004E6648"/>
    <w:rsid w:val="004E76D5"/>
    <w:rsid w:val="004F019C"/>
    <w:rsid w:val="004F68CD"/>
    <w:rsid w:val="004F788E"/>
    <w:rsid w:val="004F7D43"/>
    <w:rsid w:val="00500839"/>
    <w:rsid w:val="00501A05"/>
    <w:rsid w:val="005020A1"/>
    <w:rsid w:val="0050240E"/>
    <w:rsid w:val="00502663"/>
    <w:rsid w:val="005026B8"/>
    <w:rsid w:val="00502C21"/>
    <w:rsid w:val="00503500"/>
    <w:rsid w:val="00503897"/>
    <w:rsid w:val="005058B1"/>
    <w:rsid w:val="00505B04"/>
    <w:rsid w:val="005064DD"/>
    <w:rsid w:val="00506700"/>
    <w:rsid w:val="00506CFF"/>
    <w:rsid w:val="005070F0"/>
    <w:rsid w:val="00507B46"/>
    <w:rsid w:val="00510342"/>
    <w:rsid w:val="005108EC"/>
    <w:rsid w:val="00511E3F"/>
    <w:rsid w:val="00511F30"/>
    <w:rsid w:val="00511F6A"/>
    <w:rsid w:val="00513B32"/>
    <w:rsid w:val="0051452E"/>
    <w:rsid w:val="00514F75"/>
    <w:rsid w:val="00515C16"/>
    <w:rsid w:val="0051744C"/>
    <w:rsid w:val="00520676"/>
    <w:rsid w:val="00520FE9"/>
    <w:rsid w:val="005217B4"/>
    <w:rsid w:val="00521A77"/>
    <w:rsid w:val="00522146"/>
    <w:rsid w:val="005222A8"/>
    <w:rsid w:val="00522A8D"/>
    <w:rsid w:val="00523579"/>
    <w:rsid w:val="00523984"/>
    <w:rsid w:val="00524212"/>
    <w:rsid w:val="00524B68"/>
    <w:rsid w:val="005255CC"/>
    <w:rsid w:val="00525897"/>
    <w:rsid w:val="00526E6D"/>
    <w:rsid w:val="00526FBB"/>
    <w:rsid w:val="0052749E"/>
    <w:rsid w:val="0052796A"/>
    <w:rsid w:val="00530A41"/>
    <w:rsid w:val="00530D57"/>
    <w:rsid w:val="0053120F"/>
    <w:rsid w:val="0053129E"/>
    <w:rsid w:val="00531887"/>
    <w:rsid w:val="0053197B"/>
    <w:rsid w:val="00531CA0"/>
    <w:rsid w:val="00531FD0"/>
    <w:rsid w:val="005324EC"/>
    <w:rsid w:val="00532506"/>
    <w:rsid w:val="00533239"/>
    <w:rsid w:val="00533BA1"/>
    <w:rsid w:val="00534EE7"/>
    <w:rsid w:val="00535089"/>
    <w:rsid w:val="0053553A"/>
    <w:rsid w:val="00535AEE"/>
    <w:rsid w:val="00535CEE"/>
    <w:rsid w:val="005363C6"/>
    <w:rsid w:val="00536460"/>
    <w:rsid w:val="00536582"/>
    <w:rsid w:val="00536B06"/>
    <w:rsid w:val="00537C1F"/>
    <w:rsid w:val="00537E0C"/>
    <w:rsid w:val="00541591"/>
    <w:rsid w:val="00541EA4"/>
    <w:rsid w:val="00542AA8"/>
    <w:rsid w:val="00543E91"/>
    <w:rsid w:val="00544329"/>
    <w:rsid w:val="00544391"/>
    <w:rsid w:val="005458B6"/>
    <w:rsid w:val="0054689B"/>
    <w:rsid w:val="0054706C"/>
    <w:rsid w:val="00547070"/>
    <w:rsid w:val="00547986"/>
    <w:rsid w:val="005505FA"/>
    <w:rsid w:val="005509D2"/>
    <w:rsid w:val="0055117F"/>
    <w:rsid w:val="005529C4"/>
    <w:rsid w:val="00552D0A"/>
    <w:rsid w:val="00553770"/>
    <w:rsid w:val="00553FB2"/>
    <w:rsid w:val="00553FF3"/>
    <w:rsid w:val="005546E1"/>
    <w:rsid w:val="0055492B"/>
    <w:rsid w:val="00555164"/>
    <w:rsid w:val="00555750"/>
    <w:rsid w:val="00556624"/>
    <w:rsid w:val="00556E19"/>
    <w:rsid w:val="00556EC3"/>
    <w:rsid w:val="0055706A"/>
    <w:rsid w:val="0055744C"/>
    <w:rsid w:val="00557482"/>
    <w:rsid w:val="005577B0"/>
    <w:rsid w:val="00557DD3"/>
    <w:rsid w:val="00560513"/>
    <w:rsid w:val="0056086A"/>
    <w:rsid w:val="00561D74"/>
    <w:rsid w:val="0056281C"/>
    <w:rsid w:val="00563263"/>
    <w:rsid w:val="00563A46"/>
    <w:rsid w:val="00564C71"/>
    <w:rsid w:val="00565ED0"/>
    <w:rsid w:val="00566707"/>
    <w:rsid w:val="00567A6D"/>
    <w:rsid w:val="005700E4"/>
    <w:rsid w:val="0057037F"/>
    <w:rsid w:val="00570529"/>
    <w:rsid w:val="00571D39"/>
    <w:rsid w:val="00572399"/>
    <w:rsid w:val="00572684"/>
    <w:rsid w:val="00572D1F"/>
    <w:rsid w:val="00573BD8"/>
    <w:rsid w:val="00573FEE"/>
    <w:rsid w:val="00574B01"/>
    <w:rsid w:val="00574CDB"/>
    <w:rsid w:val="00575733"/>
    <w:rsid w:val="00575B2E"/>
    <w:rsid w:val="00575C0C"/>
    <w:rsid w:val="00576BA2"/>
    <w:rsid w:val="0057739C"/>
    <w:rsid w:val="00580565"/>
    <w:rsid w:val="0058072C"/>
    <w:rsid w:val="00581731"/>
    <w:rsid w:val="00581E4F"/>
    <w:rsid w:val="00582990"/>
    <w:rsid w:val="00583B55"/>
    <w:rsid w:val="00584E59"/>
    <w:rsid w:val="005853C4"/>
    <w:rsid w:val="0058588A"/>
    <w:rsid w:val="0058654C"/>
    <w:rsid w:val="00586A47"/>
    <w:rsid w:val="00587818"/>
    <w:rsid w:val="0058783C"/>
    <w:rsid w:val="005917F4"/>
    <w:rsid w:val="00591E68"/>
    <w:rsid w:val="00593749"/>
    <w:rsid w:val="00594AE7"/>
    <w:rsid w:val="00595078"/>
    <w:rsid w:val="00595931"/>
    <w:rsid w:val="005965A2"/>
    <w:rsid w:val="005974B4"/>
    <w:rsid w:val="005976C6"/>
    <w:rsid w:val="0059770D"/>
    <w:rsid w:val="00597A82"/>
    <w:rsid w:val="00597AC8"/>
    <w:rsid w:val="005A0788"/>
    <w:rsid w:val="005A0C09"/>
    <w:rsid w:val="005A0E46"/>
    <w:rsid w:val="005A1142"/>
    <w:rsid w:val="005A1EA4"/>
    <w:rsid w:val="005A26E7"/>
    <w:rsid w:val="005A26F8"/>
    <w:rsid w:val="005A2E5F"/>
    <w:rsid w:val="005A3363"/>
    <w:rsid w:val="005A4916"/>
    <w:rsid w:val="005A4ECC"/>
    <w:rsid w:val="005A4FAE"/>
    <w:rsid w:val="005A54B5"/>
    <w:rsid w:val="005A65A0"/>
    <w:rsid w:val="005A6F6F"/>
    <w:rsid w:val="005A7B01"/>
    <w:rsid w:val="005B0400"/>
    <w:rsid w:val="005B12A7"/>
    <w:rsid w:val="005B1821"/>
    <w:rsid w:val="005B1AB6"/>
    <w:rsid w:val="005B1E46"/>
    <w:rsid w:val="005B53B1"/>
    <w:rsid w:val="005B5AA0"/>
    <w:rsid w:val="005B5C82"/>
    <w:rsid w:val="005B602E"/>
    <w:rsid w:val="005B6CEB"/>
    <w:rsid w:val="005B7EB0"/>
    <w:rsid w:val="005B7EFC"/>
    <w:rsid w:val="005C0029"/>
    <w:rsid w:val="005C0BF6"/>
    <w:rsid w:val="005C18AC"/>
    <w:rsid w:val="005C3699"/>
    <w:rsid w:val="005C3BEA"/>
    <w:rsid w:val="005C5199"/>
    <w:rsid w:val="005C530E"/>
    <w:rsid w:val="005C5591"/>
    <w:rsid w:val="005C5B6A"/>
    <w:rsid w:val="005C613E"/>
    <w:rsid w:val="005C6F3C"/>
    <w:rsid w:val="005C7C5E"/>
    <w:rsid w:val="005D1FBC"/>
    <w:rsid w:val="005D308C"/>
    <w:rsid w:val="005D321F"/>
    <w:rsid w:val="005D3E16"/>
    <w:rsid w:val="005D4EC2"/>
    <w:rsid w:val="005D6516"/>
    <w:rsid w:val="005D6A3D"/>
    <w:rsid w:val="005D7BC1"/>
    <w:rsid w:val="005D7F1E"/>
    <w:rsid w:val="005E0CDF"/>
    <w:rsid w:val="005E1503"/>
    <w:rsid w:val="005E1B22"/>
    <w:rsid w:val="005E2812"/>
    <w:rsid w:val="005E344B"/>
    <w:rsid w:val="005E376F"/>
    <w:rsid w:val="005E3B9A"/>
    <w:rsid w:val="005E3DD4"/>
    <w:rsid w:val="005E5377"/>
    <w:rsid w:val="005E5558"/>
    <w:rsid w:val="005E5981"/>
    <w:rsid w:val="005E5FB6"/>
    <w:rsid w:val="005E6278"/>
    <w:rsid w:val="005E7655"/>
    <w:rsid w:val="005F0C5C"/>
    <w:rsid w:val="005F0E15"/>
    <w:rsid w:val="005F482D"/>
    <w:rsid w:val="005F5307"/>
    <w:rsid w:val="005F59A2"/>
    <w:rsid w:val="005F6127"/>
    <w:rsid w:val="005F6788"/>
    <w:rsid w:val="005F7A59"/>
    <w:rsid w:val="005F7B2B"/>
    <w:rsid w:val="006003F6"/>
    <w:rsid w:val="006005EC"/>
    <w:rsid w:val="00600AF6"/>
    <w:rsid w:val="00600B50"/>
    <w:rsid w:val="00601E69"/>
    <w:rsid w:val="00602107"/>
    <w:rsid w:val="006023C3"/>
    <w:rsid w:val="00602425"/>
    <w:rsid w:val="006030B0"/>
    <w:rsid w:val="00603BC7"/>
    <w:rsid w:val="00604423"/>
    <w:rsid w:val="00606096"/>
    <w:rsid w:val="0060680A"/>
    <w:rsid w:val="00606B48"/>
    <w:rsid w:val="006075DB"/>
    <w:rsid w:val="006078A1"/>
    <w:rsid w:val="0061049C"/>
    <w:rsid w:val="00610AFF"/>
    <w:rsid w:val="00610D6B"/>
    <w:rsid w:val="00610E67"/>
    <w:rsid w:val="00611039"/>
    <w:rsid w:val="00611484"/>
    <w:rsid w:val="006114C1"/>
    <w:rsid w:val="006115BF"/>
    <w:rsid w:val="006124BB"/>
    <w:rsid w:val="0061265D"/>
    <w:rsid w:val="00613478"/>
    <w:rsid w:val="00613AF2"/>
    <w:rsid w:val="00614983"/>
    <w:rsid w:val="00614E49"/>
    <w:rsid w:val="00615717"/>
    <w:rsid w:val="00616701"/>
    <w:rsid w:val="006169D8"/>
    <w:rsid w:val="00616D7A"/>
    <w:rsid w:val="00617636"/>
    <w:rsid w:val="00620CDB"/>
    <w:rsid w:val="00621926"/>
    <w:rsid w:val="00621AEC"/>
    <w:rsid w:val="00622346"/>
    <w:rsid w:val="0062251A"/>
    <w:rsid w:val="00623740"/>
    <w:rsid w:val="00624DE0"/>
    <w:rsid w:val="00625A4B"/>
    <w:rsid w:val="0062603F"/>
    <w:rsid w:val="00626088"/>
    <w:rsid w:val="00626E00"/>
    <w:rsid w:val="00627E33"/>
    <w:rsid w:val="00627E7D"/>
    <w:rsid w:val="006301AB"/>
    <w:rsid w:val="006304C1"/>
    <w:rsid w:val="00630A48"/>
    <w:rsid w:val="00630BDE"/>
    <w:rsid w:val="00631F38"/>
    <w:rsid w:val="00633179"/>
    <w:rsid w:val="00633D17"/>
    <w:rsid w:val="00634CF8"/>
    <w:rsid w:val="006353CF"/>
    <w:rsid w:val="00635680"/>
    <w:rsid w:val="0063656C"/>
    <w:rsid w:val="006379B1"/>
    <w:rsid w:val="006402C6"/>
    <w:rsid w:val="006424D4"/>
    <w:rsid w:val="0064385C"/>
    <w:rsid w:val="00643D28"/>
    <w:rsid w:val="0064421E"/>
    <w:rsid w:val="00644291"/>
    <w:rsid w:val="00645D6A"/>
    <w:rsid w:val="00645F39"/>
    <w:rsid w:val="00646B44"/>
    <w:rsid w:val="00646B9A"/>
    <w:rsid w:val="00647E5D"/>
    <w:rsid w:val="00650704"/>
    <w:rsid w:val="00650C85"/>
    <w:rsid w:val="006525B4"/>
    <w:rsid w:val="00652F4D"/>
    <w:rsid w:val="006534E4"/>
    <w:rsid w:val="006576A1"/>
    <w:rsid w:val="0065773A"/>
    <w:rsid w:val="00657F34"/>
    <w:rsid w:val="00660259"/>
    <w:rsid w:val="006616AD"/>
    <w:rsid w:val="00661957"/>
    <w:rsid w:val="00661B57"/>
    <w:rsid w:val="0066208C"/>
    <w:rsid w:val="00662EFE"/>
    <w:rsid w:val="006640B8"/>
    <w:rsid w:val="0066420B"/>
    <w:rsid w:val="00664421"/>
    <w:rsid w:val="0066775A"/>
    <w:rsid w:val="00670CC2"/>
    <w:rsid w:val="00671EFB"/>
    <w:rsid w:val="0067258D"/>
    <w:rsid w:val="00673967"/>
    <w:rsid w:val="00675616"/>
    <w:rsid w:val="00675692"/>
    <w:rsid w:val="00675DFA"/>
    <w:rsid w:val="00676105"/>
    <w:rsid w:val="00676A36"/>
    <w:rsid w:val="00676AE2"/>
    <w:rsid w:val="00676E2E"/>
    <w:rsid w:val="0067745C"/>
    <w:rsid w:val="0067766A"/>
    <w:rsid w:val="00677883"/>
    <w:rsid w:val="00680329"/>
    <w:rsid w:val="00680891"/>
    <w:rsid w:val="00681932"/>
    <w:rsid w:val="006820C8"/>
    <w:rsid w:val="00682E0B"/>
    <w:rsid w:val="00684020"/>
    <w:rsid w:val="00685052"/>
    <w:rsid w:val="006850B7"/>
    <w:rsid w:val="006856ED"/>
    <w:rsid w:val="00687054"/>
    <w:rsid w:val="006873C9"/>
    <w:rsid w:val="006877F0"/>
    <w:rsid w:val="00687B07"/>
    <w:rsid w:val="00687F66"/>
    <w:rsid w:val="00690E2D"/>
    <w:rsid w:val="00691278"/>
    <w:rsid w:val="00691DCE"/>
    <w:rsid w:val="0069244C"/>
    <w:rsid w:val="00692721"/>
    <w:rsid w:val="00692E03"/>
    <w:rsid w:val="00693827"/>
    <w:rsid w:val="0069454A"/>
    <w:rsid w:val="00695381"/>
    <w:rsid w:val="00695ACD"/>
    <w:rsid w:val="00697E92"/>
    <w:rsid w:val="00697EB1"/>
    <w:rsid w:val="006A0CA5"/>
    <w:rsid w:val="006A106E"/>
    <w:rsid w:val="006A1586"/>
    <w:rsid w:val="006A1598"/>
    <w:rsid w:val="006A1C9E"/>
    <w:rsid w:val="006A250C"/>
    <w:rsid w:val="006A2652"/>
    <w:rsid w:val="006A3105"/>
    <w:rsid w:val="006A3399"/>
    <w:rsid w:val="006A404B"/>
    <w:rsid w:val="006A4122"/>
    <w:rsid w:val="006A5A07"/>
    <w:rsid w:val="006A5E00"/>
    <w:rsid w:val="006A637A"/>
    <w:rsid w:val="006A6443"/>
    <w:rsid w:val="006A662C"/>
    <w:rsid w:val="006A6B7D"/>
    <w:rsid w:val="006A6D9E"/>
    <w:rsid w:val="006A7172"/>
    <w:rsid w:val="006A75B1"/>
    <w:rsid w:val="006A77D9"/>
    <w:rsid w:val="006A79AB"/>
    <w:rsid w:val="006A7A8B"/>
    <w:rsid w:val="006A7BD2"/>
    <w:rsid w:val="006B16D8"/>
    <w:rsid w:val="006B1764"/>
    <w:rsid w:val="006B2A69"/>
    <w:rsid w:val="006B2B6F"/>
    <w:rsid w:val="006B3355"/>
    <w:rsid w:val="006B44AD"/>
    <w:rsid w:val="006B49FC"/>
    <w:rsid w:val="006B61D6"/>
    <w:rsid w:val="006B665F"/>
    <w:rsid w:val="006B6DD6"/>
    <w:rsid w:val="006B7464"/>
    <w:rsid w:val="006B78B0"/>
    <w:rsid w:val="006C040A"/>
    <w:rsid w:val="006C072E"/>
    <w:rsid w:val="006C120B"/>
    <w:rsid w:val="006C28B8"/>
    <w:rsid w:val="006C29D8"/>
    <w:rsid w:val="006C39A8"/>
    <w:rsid w:val="006C3DE8"/>
    <w:rsid w:val="006C3FB7"/>
    <w:rsid w:val="006C45C8"/>
    <w:rsid w:val="006C5F27"/>
    <w:rsid w:val="006C69CB"/>
    <w:rsid w:val="006C7BC7"/>
    <w:rsid w:val="006C7F2F"/>
    <w:rsid w:val="006D01CA"/>
    <w:rsid w:val="006D1FA2"/>
    <w:rsid w:val="006D2354"/>
    <w:rsid w:val="006D3137"/>
    <w:rsid w:val="006D323D"/>
    <w:rsid w:val="006D361A"/>
    <w:rsid w:val="006D3696"/>
    <w:rsid w:val="006D38CB"/>
    <w:rsid w:val="006D4631"/>
    <w:rsid w:val="006D5235"/>
    <w:rsid w:val="006D565A"/>
    <w:rsid w:val="006D620B"/>
    <w:rsid w:val="006D667F"/>
    <w:rsid w:val="006D6EE7"/>
    <w:rsid w:val="006D7012"/>
    <w:rsid w:val="006E0577"/>
    <w:rsid w:val="006E2571"/>
    <w:rsid w:val="006E4530"/>
    <w:rsid w:val="006E45BB"/>
    <w:rsid w:val="006E45D1"/>
    <w:rsid w:val="006E4F97"/>
    <w:rsid w:val="006E4FBA"/>
    <w:rsid w:val="006E5719"/>
    <w:rsid w:val="006E5E7A"/>
    <w:rsid w:val="006E6EC5"/>
    <w:rsid w:val="006E7153"/>
    <w:rsid w:val="006F0A14"/>
    <w:rsid w:val="006F0B91"/>
    <w:rsid w:val="006F0F2A"/>
    <w:rsid w:val="006F12B4"/>
    <w:rsid w:val="006F54A6"/>
    <w:rsid w:val="006F65D9"/>
    <w:rsid w:val="006F6F62"/>
    <w:rsid w:val="007001CB"/>
    <w:rsid w:val="007013BF"/>
    <w:rsid w:val="007020C2"/>
    <w:rsid w:val="00702196"/>
    <w:rsid w:val="007021F2"/>
    <w:rsid w:val="0070222A"/>
    <w:rsid w:val="00702298"/>
    <w:rsid w:val="00702FFF"/>
    <w:rsid w:val="00703E86"/>
    <w:rsid w:val="007048C7"/>
    <w:rsid w:val="00704A50"/>
    <w:rsid w:val="00704BBF"/>
    <w:rsid w:val="00704C4B"/>
    <w:rsid w:val="00704F2E"/>
    <w:rsid w:val="00705CCF"/>
    <w:rsid w:val="00705D98"/>
    <w:rsid w:val="00707049"/>
    <w:rsid w:val="0070790B"/>
    <w:rsid w:val="00707B51"/>
    <w:rsid w:val="00710162"/>
    <w:rsid w:val="00710920"/>
    <w:rsid w:val="00710F00"/>
    <w:rsid w:val="007119FE"/>
    <w:rsid w:val="00712579"/>
    <w:rsid w:val="00712905"/>
    <w:rsid w:val="00713184"/>
    <w:rsid w:val="007131BF"/>
    <w:rsid w:val="0071339F"/>
    <w:rsid w:val="00715202"/>
    <w:rsid w:val="00715FE6"/>
    <w:rsid w:val="00716045"/>
    <w:rsid w:val="00716B7B"/>
    <w:rsid w:val="00716FBD"/>
    <w:rsid w:val="00720140"/>
    <w:rsid w:val="00720CC6"/>
    <w:rsid w:val="007214EB"/>
    <w:rsid w:val="00721506"/>
    <w:rsid w:val="0072200B"/>
    <w:rsid w:val="00723882"/>
    <w:rsid w:val="007238A9"/>
    <w:rsid w:val="00724571"/>
    <w:rsid w:val="007249D4"/>
    <w:rsid w:val="00724AF4"/>
    <w:rsid w:val="0072598C"/>
    <w:rsid w:val="007262CB"/>
    <w:rsid w:val="00726ED8"/>
    <w:rsid w:val="00731368"/>
    <w:rsid w:val="00732891"/>
    <w:rsid w:val="0073291E"/>
    <w:rsid w:val="00732AFE"/>
    <w:rsid w:val="00733123"/>
    <w:rsid w:val="00733E88"/>
    <w:rsid w:val="00734448"/>
    <w:rsid w:val="00734F27"/>
    <w:rsid w:val="00734FCF"/>
    <w:rsid w:val="00735AA1"/>
    <w:rsid w:val="00735FBF"/>
    <w:rsid w:val="00737188"/>
    <w:rsid w:val="007409E6"/>
    <w:rsid w:val="00740E6C"/>
    <w:rsid w:val="00741550"/>
    <w:rsid w:val="00741BDB"/>
    <w:rsid w:val="007441DD"/>
    <w:rsid w:val="00745266"/>
    <w:rsid w:val="00745679"/>
    <w:rsid w:val="007456EC"/>
    <w:rsid w:val="00745A6D"/>
    <w:rsid w:val="00745DE4"/>
    <w:rsid w:val="007460FB"/>
    <w:rsid w:val="00746115"/>
    <w:rsid w:val="0074617A"/>
    <w:rsid w:val="00747E47"/>
    <w:rsid w:val="0075326A"/>
    <w:rsid w:val="00753B99"/>
    <w:rsid w:val="0075405D"/>
    <w:rsid w:val="00754434"/>
    <w:rsid w:val="007550EF"/>
    <w:rsid w:val="00756B8C"/>
    <w:rsid w:val="00757B8A"/>
    <w:rsid w:val="00760C54"/>
    <w:rsid w:val="00761075"/>
    <w:rsid w:val="00761613"/>
    <w:rsid w:val="00762725"/>
    <w:rsid w:val="00762875"/>
    <w:rsid w:val="00763361"/>
    <w:rsid w:val="007635E1"/>
    <w:rsid w:val="0076362F"/>
    <w:rsid w:val="00764609"/>
    <w:rsid w:val="00764E7F"/>
    <w:rsid w:val="0076566C"/>
    <w:rsid w:val="00765BB5"/>
    <w:rsid w:val="00766468"/>
    <w:rsid w:val="007701ED"/>
    <w:rsid w:val="007703FA"/>
    <w:rsid w:val="00771213"/>
    <w:rsid w:val="00771698"/>
    <w:rsid w:val="007737EB"/>
    <w:rsid w:val="007740AD"/>
    <w:rsid w:val="00774EB7"/>
    <w:rsid w:val="00775105"/>
    <w:rsid w:val="007755AF"/>
    <w:rsid w:val="00775EA7"/>
    <w:rsid w:val="0077619C"/>
    <w:rsid w:val="0077685E"/>
    <w:rsid w:val="00776C10"/>
    <w:rsid w:val="00777006"/>
    <w:rsid w:val="0077710A"/>
    <w:rsid w:val="007772F9"/>
    <w:rsid w:val="0078182F"/>
    <w:rsid w:val="007819D7"/>
    <w:rsid w:val="00782559"/>
    <w:rsid w:val="00782DE9"/>
    <w:rsid w:val="00783A28"/>
    <w:rsid w:val="00783A80"/>
    <w:rsid w:val="00783C5D"/>
    <w:rsid w:val="00784943"/>
    <w:rsid w:val="00784F65"/>
    <w:rsid w:val="00784FC1"/>
    <w:rsid w:val="00785593"/>
    <w:rsid w:val="007862C9"/>
    <w:rsid w:val="0078650C"/>
    <w:rsid w:val="00786C67"/>
    <w:rsid w:val="00787080"/>
    <w:rsid w:val="007914E8"/>
    <w:rsid w:val="00793CB7"/>
    <w:rsid w:val="007962C9"/>
    <w:rsid w:val="007964CE"/>
    <w:rsid w:val="0079694E"/>
    <w:rsid w:val="007971DF"/>
    <w:rsid w:val="00797E21"/>
    <w:rsid w:val="007A029E"/>
    <w:rsid w:val="007A1FC3"/>
    <w:rsid w:val="007A37CC"/>
    <w:rsid w:val="007A3FD1"/>
    <w:rsid w:val="007A49B5"/>
    <w:rsid w:val="007A4F25"/>
    <w:rsid w:val="007A58B7"/>
    <w:rsid w:val="007A5ED7"/>
    <w:rsid w:val="007A5F55"/>
    <w:rsid w:val="007A608C"/>
    <w:rsid w:val="007A609C"/>
    <w:rsid w:val="007A675C"/>
    <w:rsid w:val="007A6998"/>
    <w:rsid w:val="007A6E92"/>
    <w:rsid w:val="007A7378"/>
    <w:rsid w:val="007A7AC2"/>
    <w:rsid w:val="007B353C"/>
    <w:rsid w:val="007B371F"/>
    <w:rsid w:val="007B3D87"/>
    <w:rsid w:val="007B414F"/>
    <w:rsid w:val="007B416F"/>
    <w:rsid w:val="007B5677"/>
    <w:rsid w:val="007B6997"/>
    <w:rsid w:val="007B6D25"/>
    <w:rsid w:val="007B6E73"/>
    <w:rsid w:val="007C0196"/>
    <w:rsid w:val="007C2478"/>
    <w:rsid w:val="007C262B"/>
    <w:rsid w:val="007C3389"/>
    <w:rsid w:val="007C4037"/>
    <w:rsid w:val="007C5EE2"/>
    <w:rsid w:val="007C6401"/>
    <w:rsid w:val="007C7312"/>
    <w:rsid w:val="007D150D"/>
    <w:rsid w:val="007D1539"/>
    <w:rsid w:val="007D21D4"/>
    <w:rsid w:val="007D2203"/>
    <w:rsid w:val="007D4AFA"/>
    <w:rsid w:val="007D4BA9"/>
    <w:rsid w:val="007D4FD8"/>
    <w:rsid w:val="007D51B2"/>
    <w:rsid w:val="007D6079"/>
    <w:rsid w:val="007D662C"/>
    <w:rsid w:val="007D6CD2"/>
    <w:rsid w:val="007E0967"/>
    <w:rsid w:val="007E1239"/>
    <w:rsid w:val="007E2A5A"/>
    <w:rsid w:val="007E2C5C"/>
    <w:rsid w:val="007E3283"/>
    <w:rsid w:val="007E4FE6"/>
    <w:rsid w:val="007E7027"/>
    <w:rsid w:val="007E78C3"/>
    <w:rsid w:val="007E7DA4"/>
    <w:rsid w:val="007F01AA"/>
    <w:rsid w:val="007F0942"/>
    <w:rsid w:val="007F1E03"/>
    <w:rsid w:val="007F1F8B"/>
    <w:rsid w:val="007F25AE"/>
    <w:rsid w:val="007F31B3"/>
    <w:rsid w:val="007F4C96"/>
    <w:rsid w:val="007F54FF"/>
    <w:rsid w:val="007F5925"/>
    <w:rsid w:val="007F72EB"/>
    <w:rsid w:val="007F7404"/>
    <w:rsid w:val="008002A0"/>
    <w:rsid w:val="0080036C"/>
    <w:rsid w:val="00800B88"/>
    <w:rsid w:val="00800CAD"/>
    <w:rsid w:val="00800CBB"/>
    <w:rsid w:val="00801A42"/>
    <w:rsid w:val="00801B75"/>
    <w:rsid w:val="008022CC"/>
    <w:rsid w:val="00802D8B"/>
    <w:rsid w:val="00803C64"/>
    <w:rsid w:val="00803E1D"/>
    <w:rsid w:val="008041EB"/>
    <w:rsid w:val="00804B13"/>
    <w:rsid w:val="00804B26"/>
    <w:rsid w:val="00804DD1"/>
    <w:rsid w:val="00806BCA"/>
    <w:rsid w:val="00806D67"/>
    <w:rsid w:val="008072D6"/>
    <w:rsid w:val="0081021A"/>
    <w:rsid w:val="00811653"/>
    <w:rsid w:val="00811C20"/>
    <w:rsid w:val="008128F6"/>
    <w:rsid w:val="0081396D"/>
    <w:rsid w:val="0081698D"/>
    <w:rsid w:val="00817891"/>
    <w:rsid w:val="008178A5"/>
    <w:rsid w:val="00817941"/>
    <w:rsid w:val="00820CE4"/>
    <w:rsid w:val="008212C9"/>
    <w:rsid w:val="0082153F"/>
    <w:rsid w:val="0082316B"/>
    <w:rsid w:val="008242EE"/>
    <w:rsid w:val="00824504"/>
    <w:rsid w:val="008253A4"/>
    <w:rsid w:val="008253C9"/>
    <w:rsid w:val="008257A7"/>
    <w:rsid w:val="008258C8"/>
    <w:rsid w:val="008259C2"/>
    <w:rsid w:val="0082604C"/>
    <w:rsid w:val="0082640E"/>
    <w:rsid w:val="008265B8"/>
    <w:rsid w:val="00827565"/>
    <w:rsid w:val="0082771A"/>
    <w:rsid w:val="00827BCE"/>
    <w:rsid w:val="00830EF1"/>
    <w:rsid w:val="00831C77"/>
    <w:rsid w:val="008325AF"/>
    <w:rsid w:val="00832F7A"/>
    <w:rsid w:val="00833324"/>
    <w:rsid w:val="00833381"/>
    <w:rsid w:val="0083353B"/>
    <w:rsid w:val="00833618"/>
    <w:rsid w:val="00835511"/>
    <w:rsid w:val="0083616D"/>
    <w:rsid w:val="0083666F"/>
    <w:rsid w:val="00837475"/>
    <w:rsid w:val="008374CC"/>
    <w:rsid w:val="00837681"/>
    <w:rsid w:val="00840F82"/>
    <w:rsid w:val="00841491"/>
    <w:rsid w:val="00841EAF"/>
    <w:rsid w:val="00842B87"/>
    <w:rsid w:val="008433F2"/>
    <w:rsid w:val="008438BC"/>
    <w:rsid w:val="008447D8"/>
    <w:rsid w:val="0084573B"/>
    <w:rsid w:val="00845EAC"/>
    <w:rsid w:val="00846798"/>
    <w:rsid w:val="00847E96"/>
    <w:rsid w:val="008515E4"/>
    <w:rsid w:val="008517DD"/>
    <w:rsid w:val="008518FB"/>
    <w:rsid w:val="00851B78"/>
    <w:rsid w:val="00851BA2"/>
    <w:rsid w:val="0085297B"/>
    <w:rsid w:val="00852DC6"/>
    <w:rsid w:val="00853062"/>
    <w:rsid w:val="00855AA0"/>
    <w:rsid w:val="0085785C"/>
    <w:rsid w:val="00857A51"/>
    <w:rsid w:val="008602F5"/>
    <w:rsid w:val="0086149B"/>
    <w:rsid w:val="00861AB2"/>
    <w:rsid w:val="00863223"/>
    <w:rsid w:val="00864D03"/>
    <w:rsid w:val="00864E43"/>
    <w:rsid w:val="0086551A"/>
    <w:rsid w:val="00865BA9"/>
    <w:rsid w:val="0086625C"/>
    <w:rsid w:val="00866797"/>
    <w:rsid w:val="00866D4D"/>
    <w:rsid w:val="008673F3"/>
    <w:rsid w:val="00870302"/>
    <w:rsid w:val="00870906"/>
    <w:rsid w:val="008716A6"/>
    <w:rsid w:val="00872A26"/>
    <w:rsid w:val="00872D47"/>
    <w:rsid w:val="00874751"/>
    <w:rsid w:val="00875820"/>
    <w:rsid w:val="00876044"/>
    <w:rsid w:val="00877B65"/>
    <w:rsid w:val="008809FB"/>
    <w:rsid w:val="0088172B"/>
    <w:rsid w:val="00881955"/>
    <w:rsid w:val="00882581"/>
    <w:rsid w:val="00883633"/>
    <w:rsid w:val="008849FC"/>
    <w:rsid w:val="00886574"/>
    <w:rsid w:val="00886ED1"/>
    <w:rsid w:val="00886FF0"/>
    <w:rsid w:val="008901CF"/>
    <w:rsid w:val="00890426"/>
    <w:rsid w:val="00890906"/>
    <w:rsid w:val="00890D87"/>
    <w:rsid w:val="00890E81"/>
    <w:rsid w:val="008911A0"/>
    <w:rsid w:val="00891A27"/>
    <w:rsid w:val="0089292B"/>
    <w:rsid w:val="0089299B"/>
    <w:rsid w:val="00893ED8"/>
    <w:rsid w:val="0089475F"/>
    <w:rsid w:val="008956E9"/>
    <w:rsid w:val="00895A4D"/>
    <w:rsid w:val="00896854"/>
    <w:rsid w:val="00896935"/>
    <w:rsid w:val="0089734A"/>
    <w:rsid w:val="008979AB"/>
    <w:rsid w:val="008A1567"/>
    <w:rsid w:val="008A2C74"/>
    <w:rsid w:val="008A373D"/>
    <w:rsid w:val="008A4004"/>
    <w:rsid w:val="008A4564"/>
    <w:rsid w:val="008A4F19"/>
    <w:rsid w:val="008A5134"/>
    <w:rsid w:val="008A5604"/>
    <w:rsid w:val="008A60A2"/>
    <w:rsid w:val="008A6202"/>
    <w:rsid w:val="008A6CCF"/>
    <w:rsid w:val="008A7081"/>
    <w:rsid w:val="008A7120"/>
    <w:rsid w:val="008A7720"/>
    <w:rsid w:val="008A7EA3"/>
    <w:rsid w:val="008A7F90"/>
    <w:rsid w:val="008B1B56"/>
    <w:rsid w:val="008B2808"/>
    <w:rsid w:val="008B2FE2"/>
    <w:rsid w:val="008B383F"/>
    <w:rsid w:val="008B3EFE"/>
    <w:rsid w:val="008B4739"/>
    <w:rsid w:val="008B49DD"/>
    <w:rsid w:val="008B5156"/>
    <w:rsid w:val="008B5FDB"/>
    <w:rsid w:val="008B67F4"/>
    <w:rsid w:val="008B7C49"/>
    <w:rsid w:val="008B7E99"/>
    <w:rsid w:val="008C0598"/>
    <w:rsid w:val="008C07BC"/>
    <w:rsid w:val="008C13D7"/>
    <w:rsid w:val="008C1D58"/>
    <w:rsid w:val="008C1DC2"/>
    <w:rsid w:val="008C208C"/>
    <w:rsid w:val="008C222B"/>
    <w:rsid w:val="008C28E1"/>
    <w:rsid w:val="008C3157"/>
    <w:rsid w:val="008C36B1"/>
    <w:rsid w:val="008C3756"/>
    <w:rsid w:val="008C3E56"/>
    <w:rsid w:val="008C4A5B"/>
    <w:rsid w:val="008C5883"/>
    <w:rsid w:val="008C5BC9"/>
    <w:rsid w:val="008C648C"/>
    <w:rsid w:val="008C6BEB"/>
    <w:rsid w:val="008C6FE2"/>
    <w:rsid w:val="008C7697"/>
    <w:rsid w:val="008C7D93"/>
    <w:rsid w:val="008D0486"/>
    <w:rsid w:val="008D175A"/>
    <w:rsid w:val="008D19DC"/>
    <w:rsid w:val="008D1F65"/>
    <w:rsid w:val="008D2B10"/>
    <w:rsid w:val="008D330A"/>
    <w:rsid w:val="008D33DC"/>
    <w:rsid w:val="008D351E"/>
    <w:rsid w:val="008D3AF7"/>
    <w:rsid w:val="008D3DA7"/>
    <w:rsid w:val="008D4890"/>
    <w:rsid w:val="008D51E8"/>
    <w:rsid w:val="008D5536"/>
    <w:rsid w:val="008D61E8"/>
    <w:rsid w:val="008D67A2"/>
    <w:rsid w:val="008D6913"/>
    <w:rsid w:val="008D6E0F"/>
    <w:rsid w:val="008D6F03"/>
    <w:rsid w:val="008D7888"/>
    <w:rsid w:val="008D7C7C"/>
    <w:rsid w:val="008E010C"/>
    <w:rsid w:val="008E106E"/>
    <w:rsid w:val="008E1573"/>
    <w:rsid w:val="008E243E"/>
    <w:rsid w:val="008E2733"/>
    <w:rsid w:val="008E2AD1"/>
    <w:rsid w:val="008E2C2C"/>
    <w:rsid w:val="008E3C32"/>
    <w:rsid w:val="008E40BB"/>
    <w:rsid w:val="008E45BC"/>
    <w:rsid w:val="008E5550"/>
    <w:rsid w:val="008E55C1"/>
    <w:rsid w:val="008E60D2"/>
    <w:rsid w:val="008E6232"/>
    <w:rsid w:val="008E63DE"/>
    <w:rsid w:val="008E6DD3"/>
    <w:rsid w:val="008E7B6F"/>
    <w:rsid w:val="008F01D9"/>
    <w:rsid w:val="008F02F6"/>
    <w:rsid w:val="008F1014"/>
    <w:rsid w:val="008F1E9F"/>
    <w:rsid w:val="008F3143"/>
    <w:rsid w:val="008F31FD"/>
    <w:rsid w:val="008F34C4"/>
    <w:rsid w:val="008F355F"/>
    <w:rsid w:val="008F3C93"/>
    <w:rsid w:val="008F7679"/>
    <w:rsid w:val="008F7AE1"/>
    <w:rsid w:val="008F7CCD"/>
    <w:rsid w:val="0090115E"/>
    <w:rsid w:val="00902831"/>
    <w:rsid w:val="00906126"/>
    <w:rsid w:val="00906D47"/>
    <w:rsid w:val="0090714C"/>
    <w:rsid w:val="00910AC9"/>
    <w:rsid w:val="00912075"/>
    <w:rsid w:val="009137B6"/>
    <w:rsid w:val="00913F70"/>
    <w:rsid w:val="00914121"/>
    <w:rsid w:val="0091511E"/>
    <w:rsid w:val="00915D90"/>
    <w:rsid w:val="00916276"/>
    <w:rsid w:val="0091679B"/>
    <w:rsid w:val="009168E4"/>
    <w:rsid w:val="00916ADC"/>
    <w:rsid w:val="0091735E"/>
    <w:rsid w:val="009179AD"/>
    <w:rsid w:val="009212CA"/>
    <w:rsid w:val="00921662"/>
    <w:rsid w:val="0092258F"/>
    <w:rsid w:val="009225E6"/>
    <w:rsid w:val="0092266D"/>
    <w:rsid w:val="0092482C"/>
    <w:rsid w:val="00924B9E"/>
    <w:rsid w:val="00925EA6"/>
    <w:rsid w:val="00926FD2"/>
    <w:rsid w:val="009270BD"/>
    <w:rsid w:val="00927ECD"/>
    <w:rsid w:val="009313A1"/>
    <w:rsid w:val="009313FF"/>
    <w:rsid w:val="009314FD"/>
    <w:rsid w:val="009326BC"/>
    <w:rsid w:val="009328D2"/>
    <w:rsid w:val="00932CCE"/>
    <w:rsid w:val="00932DE0"/>
    <w:rsid w:val="009332EF"/>
    <w:rsid w:val="00933BCC"/>
    <w:rsid w:val="00933C3D"/>
    <w:rsid w:val="0093644B"/>
    <w:rsid w:val="00936882"/>
    <w:rsid w:val="0093756C"/>
    <w:rsid w:val="009376C9"/>
    <w:rsid w:val="0094037C"/>
    <w:rsid w:val="00940441"/>
    <w:rsid w:val="0094094E"/>
    <w:rsid w:val="00940F12"/>
    <w:rsid w:val="00941B5C"/>
    <w:rsid w:val="00943370"/>
    <w:rsid w:val="00943B31"/>
    <w:rsid w:val="00945132"/>
    <w:rsid w:val="009453DF"/>
    <w:rsid w:val="0094569A"/>
    <w:rsid w:val="00946385"/>
    <w:rsid w:val="00946C44"/>
    <w:rsid w:val="00946F61"/>
    <w:rsid w:val="00947861"/>
    <w:rsid w:val="0095055F"/>
    <w:rsid w:val="009507C3"/>
    <w:rsid w:val="00951CA1"/>
    <w:rsid w:val="00952172"/>
    <w:rsid w:val="00952495"/>
    <w:rsid w:val="00952AB4"/>
    <w:rsid w:val="009531C2"/>
    <w:rsid w:val="0095338B"/>
    <w:rsid w:val="009537F3"/>
    <w:rsid w:val="009539E6"/>
    <w:rsid w:val="00953C8E"/>
    <w:rsid w:val="00953D84"/>
    <w:rsid w:val="00954374"/>
    <w:rsid w:val="00954EC8"/>
    <w:rsid w:val="00955380"/>
    <w:rsid w:val="00955557"/>
    <w:rsid w:val="0095558B"/>
    <w:rsid w:val="00955683"/>
    <w:rsid w:val="00956641"/>
    <w:rsid w:val="00956F69"/>
    <w:rsid w:val="0096038B"/>
    <w:rsid w:val="00960836"/>
    <w:rsid w:val="009608F5"/>
    <w:rsid w:val="00961A3D"/>
    <w:rsid w:val="00962283"/>
    <w:rsid w:val="00963313"/>
    <w:rsid w:val="00963F49"/>
    <w:rsid w:val="009640D6"/>
    <w:rsid w:val="00964670"/>
    <w:rsid w:val="0096478F"/>
    <w:rsid w:val="00964B28"/>
    <w:rsid w:val="0096663E"/>
    <w:rsid w:val="00966758"/>
    <w:rsid w:val="00966E32"/>
    <w:rsid w:val="00966FBE"/>
    <w:rsid w:val="009673D7"/>
    <w:rsid w:val="009676AF"/>
    <w:rsid w:val="009704E1"/>
    <w:rsid w:val="00970C43"/>
    <w:rsid w:val="00970D8C"/>
    <w:rsid w:val="009716AE"/>
    <w:rsid w:val="00972170"/>
    <w:rsid w:val="009734DC"/>
    <w:rsid w:val="009739AD"/>
    <w:rsid w:val="009740DA"/>
    <w:rsid w:val="00974130"/>
    <w:rsid w:val="00976EA2"/>
    <w:rsid w:val="00977871"/>
    <w:rsid w:val="0097791D"/>
    <w:rsid w:val="00977D62"/>
    <w:rsid w:val="00980382"/>
    <w:rsid w:val="00981B0D"/>
    <w:rsid w:val="0098237D"/>
    <w:rsid w:val="009823F6"/>
    <w:rsid w:val="00982B00"/>
    <w:rsid w:val="0098354E"/>
    <w:rsid w:val="00983953"/>
    <w:rsid w:val="00984BFC"/>
    <w:rsid w:val="00985D08"/>
    <w:rsid w:val="00985D3B"/>
    <w:rsid w:val="00987CD1"/>
    <w:rsid w:val="00990B67"/>
    <w:rsid w:val="00992609"/>
    <w:rsid w:val="00992A73"/>
    <w:rsid w:val="00994680"/>
    <w:rsid w:val="009947A6"/>
    <w:rsid w:val="0099499D"/>
    <w:rsid w:val="00994B14"/>
    <w:rsid w:val="00994CCC"/>
    <w:rsid w:val="00997590"/>
    <w:rsid w:val="009A052A"/>
    <w:rsid w:val="009A0820"/>
    <w:rsid w:val="009A0E51"/>
    <w:rsid w:val="009A16E6"/>
    <w:rsid w:val="009A2322"/>
    <w:rsid w:val="009A26F3"/>
    <w:rsid w:val="009A2ADD"/>
    <w:rsid w:val="009A33BC"/>
    <w:rsid w:val="009A56D3"/>
    <w:rsid w:val="009A611A"/>
    <w:rsid w:val="009A697F"/>
    <w:rsid w:val="009A6AAD"/>
    <w:rsid w:val="009A713C"/>
    <w:rsid w:val="009B03DC"/>
    <w:rsid w:val="009B0441"/>
    <w:rsid w:val="009B1F0B"/>
    <w:rsid w:val="009B1F13"/>
    <w:rsid w:val="009B2E09"/>
    <w:rsid w:val="009B36E5"/>
    <w:rsid w:val="009B38AB"/>
    <w:rsid w:val="009B38C8"/>
    <w:rsid w:val="009B3F08"/>
    <w:rsid w:val="009B4320"/>
    <w:rsid w:val="009B4786"/>
    <w:rsid w:val="009B5FE5"/>
    <w:rsid w:val="009B6AD5"/>
    <w:rsid w:val="009B6E1B"/>
    <w:rsid w:val="009B759A"/>
    <w:rsid w:val="009C11E4"/>
    <w:rsid w:val="009C2555"/>
    <w:rsid w:val="009C3BB3"/>
    <w:rsid w:val="009C4028"/>
    <w:rsid w:val="009C4904"/>
    <w:rsid w:val="009C4B01"/>
    <w:rsid w:val="009C4D90"/>
    <w:rsid w:val="009C732C"/>
    <w:rsid w:val="009C7EBB"/>
    <w:rsid w:val="009D02A4"/>
    <w:rsid w:val="009D0C42"/>
    <w:rsid w:val="009D2523"/>
    <w:rsid w:val="009D3686"/>
    <w:rsid w:val="009D5A90"/>
    <w:rsid w:val="009D5EE0"/>
    <w:rsid w:val="009D6534"/>
    <w:rsid w:val="009D6F50"/>
    <w:rsid w:val="009D7D9D"/>
    <w:rsid w:val="009E0CBA"/>
    <w:rsid w:val="009E13C3"/>
    <w:rsid w:val="009E271F"/>
    <w:rsid w:val="009E2BB3"/>
    <w:rsid w:val="009E3104"/>
    <w:rsid w:val="009E3F7B"/>
    <w:rsid w:val="009E3F9B"/>
    <w:rsid w:val="009E4340"/>
    <w:rsid w:val="009E47A1"/>
    <w:rsid w:val="009E5B00"/>
    <w:rsid w:val="009E6C5C"/>
    <w:rsid w:val="009F1FAD"/>
    <w:rsid w:val="009F4BEA"/>
    <w:rsid w:val="009F4D25"/>
    <w:rsid w:val="009F5819"/>
    <w:rsid w:val="009F5838"/>
    <w:rsid w:val="009F5A29"/>
    <w:rsid w:val="009F652C"/>
    <w:rsid w:val="009F6A7F"/>
    <w:rsid w:val="009F6B7D"/>
    <w:rsid w:val="009F6E7B"/>
    <w:rsid w:val="009F7436"/>
    <w:rsid w:val="00A000E0"/>
    <w:rsid w:val="00A002F4"/>
    <w:rsid w:val="00A008CB"/>
    <w:rsid w:val="00A00BA0"/>
    <w:rsid w:val="00A0114E"/>
    <w:rsid w:val="00A01CED"/>
    <w:rsid w:val="00A026BF"/>
    <w:rsid w:val="00A028A7"/>
    <w:rsid w:val="00A0368F"/>
    <w:rsid w:val="00A0420E"/>
    <w:rsid w:val="00A04A9C"/>
    <w:rsid w:val="00A04DA8"/>
    <w:rsid w:val="00A054D0"/>
    <w:rsid w:val="00A05D63"/>
    <w:rsid w:val="00A0646F"/>
    <w:rsid w:val="00A065B7"/>
    <w:rsid w:val="00A070B1"/>
    <w:rsid w:val="00A076C7"/>
    <w:rsid w:val="00A10BA1"/>
    <w:rsid w:val="00A10D93"/>
    <w:rsid w:val="00A10EAF"/>
    <w:rsid w:val="00A1292C"/>
    <w:rsid w:val="00A1362A"/>
    <w:rsid w:val="00A1425E"/>
    <w:rsid w:val="00A14992"/>
    <w:rsid w:val="00A15765"/>
    <w:rsid w:val="00A16636"/>
    <w:rsid w:val="00A16D48"/>
    <w:rsid w:val="00A17B27"/>
    <w:rsid w:val="00A17B78"/>
    <w:rsid w:val="00A17FE6"/>
    <w:rsid w:val="00A200A2"/>
    <w:rsid w:val="00A2200E"/>
    <w:rsid w:val="00A2228F"/>
    <w:rsid w:val="00A22CF0"/>
    <w:rsid w:val="00A23AD0"/>
    <w:rsid w:val="00A23ED6"/>
    <w:rsid w:val="00A24249"/>
    <w:rsid w:val="00A25D74"/>
    <w:rsid w:val="00A25FDB"/>
    <w:rsid w:val="00A2643C"/>
    <w:rsid w:val="00A269FF"/>
    <w:rsid w:val="00A26E7E"/>
    <w:rsid w:val="00A2761E"/>
    <w:rsid w:val="00A314A6"/>
    <w:rsid w:val="00A33DDB"/>
    <w:rsid w:val="00A35A32"/>
    <w:rsid w:val="00A360A4"/>
    <w:rsid w:val="00A37A85"/>
    <w:rsid w:val="00A416AD"/>
    <w:rsid w:val="00A419FF"/>
    <w:rsid w:val="00A41B59"/>
    <w:rsid w:val="00A426D4"/>
    <w:rsid w:val="00A4288C"/>
    <w:rsid w:val="00A43435"/>
    <w:rsid w:val="00A434FD"/>
    <w:rsid w:val="00A44C98"/>
    <w:rsid w:val="00A4624B"/>
    <w:rsid w:val="00A4726E"/>
    <w:rsid w:val="00A4795B"/>
    <w:rsid w:val="00A47ECF"/>
    <w:rsid w:val="00A47F33"/>
    <w:rsid w:val="00A50277"/>
    <w:rsid w:val="00A512DA"/>
    <w:rsid w:val="00A51FF5"/>
    <w:rsid w:val="00A52099"/>
    <w:rsid w:val="00A529B1"/>
    <w:rsid w:val="00A52E8A"/>
    <w:rsid w:val="00A55124"/>
    <w:rsid w:val="00A55411"/>
    <w:rsid w:val="00A554CA"/>
    <w:rsid w:val="00A55F75"/>
    <w:rsid w:val="00A578D2"/>
    <w:rsid w:val="00A60267"/>
    <w:rsid w:val="00A60BBA"/>
    <w:rsid w:val="00A61BAB"/>
    <w:rsid w:val="00A61E91"/>
    <w:rsid w:val="00A62D85"/>
    <w:rsid w:val="00A63EC6"/>
    <w:rsid w:val="00A63F06"/>
    <w:rsid w:val="00A648ED"/>
    <w:rsid w:val="00A649B7"/>
    <w:rsid w:val="00A64DEE"/>
    <w:rsid w:val="00A65489"/>
    <w:rsid w:val="00A6659A"/>
    <w:rsid w:val="00A66861"/>
    <w:rsid w:val="00A66D30"/>
    <w:rsid w:val="00A670DD"/>
    <w:rsid w:val="00A6768E"/>
    <w:rsid w:val="00A67F68"/>
    <w:rsid w:val="00A704E9"/>
    <w:rsid w:val="00A706D6"/>
    <w:rsid w:val="00A70A0F"/>
    <w:rsid w:val="00A70EFC"/>
    <w:rsid w:val="00A71013"/>
    <w:rsid w:val="00A7139F"/>
    <w:rsid w:val="00A71C01"/>
    <w:rsid w:val="00A71C3B"/>
    <w:rsid w:val="00A71F0A"/>
    <w:rsid w:val="00A7208E"/>
    <w:rsid w:val="00A760BA"/>
    <w:rsid w:val="00A768C0"/>
    <w:rsid w:val="00A77097"/>
    <w:rsid w:val="00A77A01"/>
    <w:rsid w:val="00A77B3A"/>
    <w:rsid w:val="00A80094"/>
    <w:rsid w:val="00A80F48"/>
    <w:rsid w:val="00A842E1"/>
    <w:rsid w:val="00A86B75"/>
    <w:rsid w:val="00A86BF3"/>
    <w:rsid w:val="00A86C09"/>
    <w:rsid w:val="00A877F3"/>
    <w:rsid w:val="00A9045B"/>
    <w:rsid w:val="00A90FFF"/>
    <w:rsid w:val="00A91129"/>
    <w:rsid w:val="00A91803"/>
    <w:rsid w:val="00A91C94"/>
    <w:rsid w:val="00A931C7"/>
    <w:rsid w:val="00A934D8"/>
    <w:rsid w:val="00A96CC0"/>
    <w:rsid w:val="00AA09B1"/>
    <w:rsid w:val="00AA1712"/>
    <w:rsid w:val="00AA177D"/>
    <w:rsid w:val="00AA1D79"/>
    <w:rsid w:val="00AA28A0"/>
    <w:rsid w:val="00AA37BC"/>
    <w:rsid w:val="00AA3B4F"/>
    <w:rsid w:val="00AA4440"/>
    <w:rsid w:val="00AA4909"/>
    <w:rsid w:val="00AA567F"/>
    <w:rsid w:val="00AA571B"/>
    <w:rsid w:val="00AA6A10"/>
    <w:rsid w:val="00AA7028"/>
    <w:rsid w:val="00AA74CE"/>
    <w:rsid w:val="00AA7587"/>
    <w:rsid w:val="00AB1BD1"/>
    <w:rsid w:val="00AB1CCF"/>
    <w:rsid w:val="00AB1E28"/>
    <w:rsid w:val="00AB22E7"/>
    <w:rsid w:val="00AB26AE"/>
    <w:rsid w:val="00AB2D9A"/>
    <w:rsid w:val="00AB3135"/>
    <w:rsid w:val="00AB32E0"/>
    <w:rsid w:val="00AB3379"/>
    <w:rsid w:val="00AB36D9"/>
    <w:rsid w:val="00AB63C6"/>
    <w:rsid w:val="00AB65D7"/>
    <w:rsid w:val="00AB65DD"/>
    <w:rsid w:val="00AC0B37"/>
    <w:rsid w:val="00AC1123"/>
    <w:rsid w:val="00AC21CB"/>
    <w:rsid w:val="00AC2C61"/>
    <w:rsid w:val="00AC2E8C"/>
    <w:rsid w:val="00AC2EAE"/>
    <w:rsid w:val="00AC2FD9"/>
    <w:rsid w:val="00AC31F8"/>
    <w:rsid w:val="00AC3B35"/>
    <w:rsid w:val="00AC3D0C"/>
    <w:rsid w:val="00AC3FF0"/>
    <w:rsid w:val="00AC644C"/>
    <w:rsid w:val="00AC65D7"/>
    <w:rsid w:val="00AC6646"/>
    <w:rsid w:val="00AC6B97"/>
    <w:rsid w:val="00AC7527"/>
    <w:rsid w:val="00AC79A4"/>
    <w:rsid w:val="00AC7F66"/>
    <w:rsid w:val="00AC7FBF"/>
    <w:rsid w:val="00AD0135"/>
    <w:rsid w:val="00AD0685"/>
    <w:rsid w:val="00AD0F06"/>
    <w:rsid w:val="00AD1E9D"/>
    <w:rsid w:val="00AD2171"/>
    <w:rsid w:val="00AD2F9A"/>
    <w:rsid w:val="00AD43CC"/>
    <w:rsid w:val="00AD6493"/>
    <w:rsid w:val="00AD7C9B"/>
    <w:rsid w:val="00AE0778"/>
    <w:rsid w:val="00AE09DE"/>
    <w:rsid w:val="00AE0FBA"/>
    <w:rsid w:val="00AE1179"/>
    <w:rsid w:val="00AE2510"/>
    <w:rsid w:val="00AE2DF0"/>
    <w:rsid w:val="00AE2E57"/>
    <w:rsid w:val="00AE3570"/>
    <w:rsid w:val="00AE35BF"/>
    <w:rsid w:val="00AE3846"/>
    <w:rsid w:val="00AE4C86"/>
    <w:rsid w:val="00AE5D9A"/>
    <w:rsid w:val="00AE6097"/>
    <w:rsid w:val="00AE66AF"/>
    <w:rsid w:val="00AE6753"/>
    <w:rsid w:val="00AE7299"/>
    <w:rsid w:val="00AE78DF"/>
    <w:rsid w:val="00AE79F5"/>
    <w:rsid w:val="00AE7EB8"/>
    <w:rsid w:val="00AF059F"/>
    <w:rsid w:val="00AF2B0B"/>
    <w:rsid w:val="00AF34C8"/>
    <w:rsid w:val="00AF447F"/>
    <w:rsid w:val="00AF63A5"/>
    <w:rsid w:val="00AF68D8"/>
    <w:rsid w:val="00AF6999"/>
    <w:rsid w:val="00AF6ADB"/>
    <w:rsid w:val="00AF6BD2"/>
    <w:rsid w:val="00AF6D07"/>
    <w:rsid w:val="00AF72F7"/>
    <w:rsid w:val="00AF755B"/>
    <w:rsid w:val="00AF7B72"/>
    <w:rsid w:val="00B00C02"/>
    <w:rsid w:val="00B01370"/>
    <w:rsid w:val="00B014BE"/>
    <w:rsid w:val="00B019D9"/>
    <w:rsid w:val="00B02F7A"/>
    <w:rsid w:val="00B02FCD"/>
    <w:rsid w:val="00B03999"/>
    <w:rsid w:val="00B03D8D"/>
    <w:rsid w:val="00B042F5"/>
    <w:rsid w:val="00B0482D"/>
    <w:rsid w:val="00B0507F"/>
    <w:rsid w:val="00B05487"/>
    <w:rsid w:val="00B05F4B"/>
    <w:rsid w:val="00B0628B"/>
    <w:rsid w:val="00B06417"/>
    <w:rsid w:val="00B06D6C"/>
    <w:rsid w:val="00B0766B"/>
    <w:rsid w:val="00B10B5B"/>
    <w:rsid w:val="00B10C5D"/>
    <w:rsid w:val="00B11BCF"/>
    <w:rsid w:val="00B11E80"/>
    <w:rsid w:val="00B123D7"/>
    <w:rsid w:val="00B12E89"/>
    <w:rsid w:val="00B12EBB"/>
    <w:rsid w:val="00B135DD"/>
    <w:rsid w:val="00B137EE"/>
    <w:rsid w:val="00B138F8"/>
    <w:rsid w:val="00B146BC"/>
    <w:rsid w:val="00B14F48"/>
    <w:rsid w:val="00B154C6"/>
    <w:rsid w:val="00B15E61"/>
    <w:rsid w:val="00B15F13"/>
    <w:rsid w:val="00B166E9"/>
    <w:rsid w:val="00B16857"/>
    <w:rsid w:val="00B169AF"/>
    <w:rsid w:val="00B17080"/>
    <w:rsid w:val="00B17799"/>
    <w:rsid w:val="00B17F8A"/>
    <w:rsid w:val="00B2128F"/>
    <w:rsid w:val="00B215FB"/>
    <w:rsid w:val="00B21C31"/>
    <w:rsid w:val="00B227AA"/>
    <w:rsid w:val="00B22D8D"/>
    <w:rsid w:val="00B230B1"/>
    <w:rsid w:val="00B2354A"/>
    <w:rsid w:val="00B23CFB"/>
    <w:rsid w:val="00B240DB"/>
    <w:rsid w:val="00B25C84"/>
    <w:rsid w:val="00B26D2E"/>
    <w:rsid w:val="00B26DAA"/>
    <w:rsid w:val="00B2750A"/>
    <w:rsid w:val="00B276E2"/>
    <w:rsid w:val="00B27F3D"/>
    <w:rsid w:val="00B31017"/>
    <w:rsid w:val="00B320EB"/>
    <w:rsid w:val="00B325F4"/>
    <w:rsid w:val="00B328CE"/>
    <w:rsid w:val="00B32D90"/>
    <w:rsid w:val="00B33641"/>
    <w:rsid w:val="00B33A23"/>
    <w:rsid w:val="00B34982"/>
    <w:rsid w:val="00B36164"/>
    <w:rsid w:val="00B37CAE"/>
    <w:rsid w:val="00B40652"/>
    <w:rsid w:val="00B40A35"/>
    <w:rsid w:val="00B40B94"/>
    <w:rsid w:val="00B413D4"/>
    <w:rsid w:val="00B420CD"/>
    <w:rsid w:val="00B42EF5"/>
    <w:rsid w:val="00B43629"/>
    <w:rsid w:val="00B44F4D"/>
    <w:rsid w:val="00B45067"/>
    <w:rsid w:val="00B452ED"/>
    <w:rsid w:val="00B4577F"/>
    <w:rsid w:val="00B4630B"/>
    <w:rsid w:val="00B47855"/>
    <w:rsid w:val="00B47B75"/>
    <w:rsid w:val="00B47C1E"/>
    <w:rsid w:val="00B5041E"/>
    <w:rsid w:val="00B505F7"/>
    <w:rsid w:val="00B508BE"/>
    <w:rsid w:val="00B50E7D"/>
    <w:rsid w:val="00B5161A"/>
    <w:rsid w:val="00B51761"/>
    <w:rsid w:val="00B52353"/>
    <w:rsid w:val="00B52FA9"/>
    <w:rsid w:val="00B53436"/>
    <w:rsid w:val="00B53EE6"/>
    <w:rsid w:val="00B541AC"/>
    <w:rsid w:val="00B55545"/>
    <w:rsid w:val="00B563E7"/>
    <w:rsid w:val="00B56404"/>
    <w:rsid w:val="00B607DC"/>
    <w:rsid w:val="00B60ED2"/>
    <w:rsid w:val="00B62138"/>
    <w:rsid w:val="00B62170"/>
    <w:rsid w:val="00B62E04"/>
    <w:rsid w:val="00B634AD"/>
    <w:rsid w:val="00B6363D"/>
    <w:rsid w:val="00B63A97"/>
    <w:rsid w:val="00B63EEC"/>
    <w:rsid w:val="00B64412"/>
    <w:rsid w:val="00B66052"/>
    <w:rsid w:val="00B6753D"/>
    <w:rsid w:val="00B67EBD"/>
    <w:rsid w:val="00B7026B"/>
    <w:rsid w:val="00B706C0"/>
    <w:rsid w:val="00B70C3D"/>
    <w:rsid w:val="00B71E3D"/>
    <w:rsid w:val="00B72107"/>
    <w:rsid w:val="00B722DC"/>
    <w:rsid w:val="00B72964"/>
    <w:rsid w:val="00B72C0F"/>
    <w:rsid w:val="00B736F1"/>
    <w:rsid w:val="00B7375C"/>
    <w:rsid w:val="00B739BB"/>
    <w:rsid w:val="00B74B1E"/>
    <w:rsid w:val="00B74FB1"/>
    <w:rsid w:val="00B75112"/>
    <w:rsid w:val="00B75A59"/>
    <w:rsid w:val="00B767F8"/>
    <w:rsid w:val="00B76B79"/>
    <w:rsid w:val="00B76E0E"/>
    <w:rsid w:val="00B80193"/>
    <w:rsid w:val="00B801BD"/>
    <w:rsid w:val="00B80E8B"/>
    <w:rsid w:val="00B80F40"/>
    <w:rsid w:val="00B813C3"/>
    <w:rsid w:val="00B82FDE"/>
    <w:rsid w:val="00B8356B"/>
    <w:rsid w:val="00B835FF"/>
    <w:rsid w:val="00B83D50"/>
    <w:rsid w:val="00B8509D"/>
    <w:rsid w:val="00B85335"/>
    <w:rsid w:val="00B86542"/>
    <w:rsid w:val="00B86985"/>
    <w:rsid w:val="00B86CFC"/>
    <w:rsid w:val="00B87B8D"/>
    <w:rsid w:val="00B90032"/>
    <w:rsid w:val="00B90E6B"/>
    <w:rsid w:val="00B90FCD"/>
    <w:rsid w:val="00B914BE"/>
    <w:rsid w:val="00B91CE1"/>
    <w:rsid w:val="00B91D0F"/>
    <w:rsid w:val="00B9252E"/>
    <w:rsid w:val="00B92A46"/>
    <w:rsid w:val="00B93AF4"/>
    <w:rsid w:val="00B93C27"/>
    <w:rsid w:val="00B93CF0"/>
    <w:rsid w:val="00B94155"/>
    <w:rsid w:val="00B94331"/>
    <w:rsid w:val="00B94CAB"/>
    <w:rsid w:val="00B951E9"/>
    <w:rsid w:val="00B9546B"/>
    <w:rsid w:val="00B95741"/>
    <w:rsid w:val="00B9574A"/>
    <w:rsid w:val="00B97463"/>
    <w:rsid w:val="00B97DA8"/>
    <w:rsid w:val="00BA0AC7"/>
    <w:rsid w:val="00BA0D8B"/>
    <w:rsid w:val="00BA1948"/>
    <w:rsid w:val="00BA1BEF"/>
    <w:rsid w:val="00BA2ECB"/>
    <w:rsid w:val="00BA309F"/>
    <w:rsid w:val="00BA3923"/>
    <w:rsid w:val="00BA3B72"/>
    <w:rsid w:val="00BA40CD"/>
    <w:rsid w:val="00BA49B5"/>
    <w:rsid w:val="00BA67CB"/>
    <w:rsid w:val="00BA69EE"/>
    <w:rsid w:val="00BA78B5"/>
    <w:rsid w:val="00BB0601"/>
    <w:rsid w:val="00BB08D9"/>
    <w:rsid w:val="00BB144D"/>
    <w:rsid w:val="00BB14B8"/>
    <w:rsid w:val="00BB1543"/>
    <w:rsid w:val="00BB1B68"/>
    <w:rsid w:val="00BB21C2"/>
    <w:rsid w:val="00BB3837"/>
    <w:rsid w:val="00BB38B1"/>
    <w:rsid w:val="00BB3941"/>
    <w:rsid w:val="00BB404B"/>
    <w:rsid w:val="00BB4225"/>
    <w:rsid w:val="00BB6CB9"/>
    <w:rsid w:val="00BB6F83"/>
    <w:rsid w:val="00BB7301"/>
    <w:rsid w:val="00BC0831"/>
    <w:rsid w:val="00BC10D6"/>
    <w:rsid w:val="00BC13FC"/>
    <w:rsid w:val="00BC18FB"/>
    <w:rsid w:val="00BC33AF"/>
    <w:rsid w:val="00BC3B1C"/>
    <w:rsid w:val="00BC3C9B"/>
    <w:rsid w:val="00BC4B28"/>
    <w:rsid w:val="00BC4FA6"/>
    <w:rsid w:val="00BC58A2"/>
    <w:rsid w:val="00BC5E8B"/>
    <w:rsid w:val="00BC6A71"/>
    <w:rsid w:val="00BD079B"/>
    <w:rsid w:val="00BD09E4"/>
    <w:rsid w:val="00BD0AAA"/>
    <w:rsid w:val="00BD0BF4"/>
    <w:rsid w:val="00BD139D"/>
    <w:rsid w:val="00BD1F12"/>
    <w:rsid w:val="00BD240B"/>
    <w:rsid w:val="00BD27B1"/>
    <w:rsid w:val="00BD30AC"/>
    <w:rsid w:val="00BD437E"/>
    <w:rsid w:val="00BD4519"/>
    <w:rsid w:val="00BD4753"/>
    <w:rsid w:val="00BD4AC9"/>
    <w:rsid w:val="00BD514A"/>
    <w:rsid w:val="00BD5954"/>
    <w:rsid w:val="00BD5D0B"/>
    <w:rsid w:val="00BD6245"/>
    <w:rsid w:val="00BD6407"/>
    <w:rsid w:val="00BD725D"/>
    <w:rsid w:val="00BD7573"/>
    <w:rsid w:val="00BD7A69"/>
    <w:rsid w:val="00BE0465"/>
    <w:rsid w:val="00BE0B6D"/>
    <w:rsid w:val="00BE160B"/>
    <w:rsid w:val="00BE1798"/>
    <w:rsid w:val="00BE213C"/>
    <w:rsid w:val="00BE24CC"/>
    <w:rsid w:val="00BE2741"/>
    <w:rsid w:val="00BE2AF9"/>
    <w:rsid w:val="00BE3DE8"/>
    <w:rsid w:val="00BE4A48"/>
    <w:rsid w:val="00BE55EA"/>
    <w:rsid w:val="00BE61AE"/>
    <w:rsid w:val="00BE667A"/>
    <w:rsid w:val="00BE69FB"/>
    <w:rsid w:val="00BE7220"/>
    <w:rsid w:val="00BF0730"/>
    <w:rsid w:val="00BF08AE"/>
    <w:rsid w:val="00BF0E72"/>
    <w:rsid w:val="00BF14C3"/>
    <w:rsid w:val="00BF27FD"/>
    <w:rsid w:val="00BF2D95"/>
    <w:rsid w:val="00BF3652"/>
    <w:rsid w:val="00BF3BBD"/>
    <w:rsid w:val="00BF3E0B"/>
    <w:rsid w:val="00BF3F06"/>
    <w:rsid w:val="00BF4938"/>
    <w:rsid w:val="00BF496D"/>
    <w:rsid w:val="00BF6297"/>
    <w:rsid w:val="00BF629D"/>
    <w:rsid w:val="00BF62D1"/>
    <w:rsid w:val="00BF6FFF"/>
    <w:rsid w:val="00BF7430"/>
    <w:rsid w:val="00BF757A"/>
    <w:rsid w:val="00C0078B"/>
    <w:rsid w:val="00C00BA4"/>
    <w:rsid w:val="00C00D80"/>
    <w:rsid w:val="00C01DD4"/>
    <w:rsid w:val="00C02EDE"/>
    <w:rsid w:val="00C03C79"/>
    <w:rsid w:val="00C03C9A"/>
    <w:rsid w:val="00C102CD"/>
    <w:rsid w:val="00C10E1E"/>
    <w:rsid w:val="00C11043"/>
    <w:rsid w:val="00C1161D"/>
    <w:rsid w:val="00C11772"/>
    <w:rsid w:val="00C12539"/>
    <w:rsid w:val="00C131CB"/>
    <w:rsid w:val="00C141AE"/>
    <w:rsid w:val="00C14981"/>
    <w:rsid w:val="00C15ABD"/>
    <w:rsid w:val="00C16144"/>
    <w:rsid w:val="00C1675B"/>
    <w:rsid w:val="00C17884"/>
    <w:rsid w:val="00C201B7"/>
    <w:rsid w:val="00C20414"/>
    <w:rsid w:val="00C204D5"/>
    <w:rsid w:val="00C212C5"/>
    <w:rsid w:val="00C224D2"/>
    <w:rsid w:val="00C23306"/>
    <w:rsid w:val="00C25D1B"/>
    <w:rsid w:val="00C265EC"/>
    <w:rsid w:val="00C269E5"/>
    <w:rsid w:val="00C2721C"/>
    <w:rsid w:val="00C2736B"/>
    <w:rsid w:val="00C275B2"/>
    <w:rsid w:val="00C30050"/>
    <w:rsid w:val="00C30147"/>
    <w:rsid w:val="00C30544"/>
    <w:rsid w:val="00C3169B"/>
    <w:rsid w:val="00C31A12"/>
    <w:rsid w:val="00C31AA7"/>
    <w:rsid w:val="00C31C3C"/>
    <w:rsid w:val="00C320C9"/>
    <w:rsid w:val="00C322E4"/>
    <w:rsid w:val="00C32A06"/>
    <w:rsid w:val="00C33BED"/>
    <w:rsid w:val="00C34B1D"/>
    <w:rsid w:val="00C34ECF"/>
    <w:rsid w:val="00C34ED1"/>
    <w:rsid w:val="00C353A8"/>
    <w:rsid w:val="00C3617A"/>
    <w:rsid w:val="00C36547"/>
    <w:rsid w:val="00C374F7"/>
    <w:rsid w:val="00C414DD"/>
    <w:rsid w:val="00C4167B"/>
    <w:rsid w:val="00C41BCA"/>
    <w:rsid w:val="00C43C5F"/>
    <w:rsid w:val="00C44BE1"/>
    <w:rsid w:val="00C4546A"/>
    <w:rsid w:val="00C4628B"/>
    <w:rsid w:val="00C46B48"/>
    <w:rsid w:val="00C46ECD"/>
    <w:rsid w:val="00C478E1"/>
    <w:rsid w:val="00C50581"/>
    <w:rsid w:val="00C505AD"/>
    <w:rsid w:val="00C508D1"/>
    <w:rsid w:val="00C50D28"/>
    <w:rsid w:val="00C50EA5"/>
    <w:rsid w:val="00C51E9E"/>
    <w:rsid w:val="00C52185"/>
    <w:rsid w:val="00C52BD8"/>
    <w:rsid w:val="00C53EBA"/>
    <w:rsid w:val="00C551DA"/>
    <w:rsid w:val="00C55558"/>
    <w:rsid w:val="00C557EA"/>
    <w:rsid w:val="00C55A7C"/>
    <w:rsid w:val="00C562ED"/>
    <w:rsid w:val="00C56568"/>
    <w:rsid w:val="00C5746D"/>
    <w:rsid w:val="00C57D8A"/>
    <w:rsid w:val="00C57D8C"/>
    <w:rsid w:val="00C601F1"/>
    <w:rsid w:val="00C6053E"/>
    <w:rsid w:val="00C61162"/>
    <w:rsid w:val="00C611E5"/>
    <w:rsid w:val="00C622C5"/>
    <w:rsid w:val="00C62C0F"/>
    <w:rsid w:val="00C64724"/>
    <w:rsid w:val="00C647DA"/>
    <w:rsid w:val="00C65F1B"/>
    <w:rsid w:val="00C66A9D"/>
    <w:rsid w:val="00C66C10"/>
    <w:rsid w:val="00C66C1F"/>
    <w:rsid w:val="00C6706E"/>
    <w:rsid w:val="00C6766C"/>
    <w:rsid w:val="00C6790C"/>
    <w:rsid w:val="00C67D79"/>
    <w:rsid w:val="00C7006C"/>
    <w:rsid w:val="00C726FE"/>
    <w:rsid w:val="00C731E8"/>
    <w:rsid w:val="00C742CA"/>
    <w:rsid w:val="00C75239"/>
    <w:rsid w:val="00C7688F"/>
    <w:rsid w:val="00C77766"/>
    <w:rsid w:val="00C77AF5"/>
    <w:rsid w:val="00C77B65"/>
    <w:rsid w:val="00C77C60"/>
    <w:rsid w:val="00C802B9"/>
    <w:rsid w:val="00C822A8"/>
    <w:rsid w:val="00C82BAA"/>
    <w:rsid w:val="00C83581"/>
    <w:rsid w:val="00C835E1"/>
    <w:rsid w:val="00C84532"/>
    <w:rsid w:val="00C84D3C"/>
    <w:rsid w:val="00C85283"/>
    <w:rsid w:val="00C86F0B"/>
    <w:rsid w:val="00C90379"/>
    <w:rsid w:val="00C907CB"/>
    <w:rsid w:val="00C910FD"/>
    <w:rsid w:val="00C95B85"/>
    <w:rsid w:val="00C95C50"/>
    <w:rsid w:val="00C95C90"/>
    <w:rsid w:val="00C96F43"/>
    <w:rsid w:val="00C97620"/>
    <w:rsid w:val="00C97ED1"/>
    <w:rsid w:val="00C97F45"/>
    <w:rsid w:val="00CA0D7A"/>
    <w:rsid w:val="00CA3739"/>
    <w:rsid w:val="00CA3A19"/>
    <w:rsid w:val="00CA501C"/>
    <w:rsid w:val="00CA50EA"/>
    <w:rsid w:val="00CA6054"/>
    <w:rsid w:val="00CA79C9"/>
    <w:rsid w:val="00CB0C9A"/>
    <w:rsid w:val="00CB1718"/>
    <w:rsid w:val="00CB1B85"/>
    <w:rsid w:val="00CB1BA7"/>
    <w:rsid w:val="00CB33EE"/>
    <w:rsid w:val="00CB3D8A"/>
    <w:rsid w:val="00CB4CBF"/>
    <w:rsid w:val="00CB5579"/>
    <w:rsid w:val="00CB63CB"/>
    <w:rsid w:val="00CB6531"/>
    <w:rsid w:val="00CC0D07"/>
    <w:rsid w:val="00CC1281"/>
    <w:rsid w:val="00CC1579"/>
    <w:rsid w:val="00CC1B3F"/>
    <w:rsid w:val="00CC2144"/>
    <w:rsid w:val="00CC39C0"/>
    <w:rsid w:val="00CC3C9F"/>
    <w:rsid w:val="00CC3FFD"/>
    <w:rsid w:val="00CC4320"/>
    <w:rsid w:val="00CC4AD3"/>
    <w:rsid w:val="00CC55D6"/>
    <w:rsid w:val="00CC61B1"/>
    <w:rsid w:val="00CC631D"/>
    <w:rsid w:val="00CD1883"/>
    <w:rsid w:val="00CD1B26"/>
    <w:rsid w:val="00CD21AF"/>
    <w:rsid w:val="00CD23C7"/>
    <w:rsid w:val="00CD321E"/>
    <w:rsid w:val="00CD39AA"/>
    <w:rsid w:val="00CD4864"/>
    <w:rsid w:val="00CD52AE"/>
    <w:rsid w:val="00CD5BCF"/>
    <w:rsid w:val="00CD5EBB"/>
    <w:rsid w:val="00CD6489"/>
    <w:rsid w:val="00CD6712"/>
    <w:rsid w:val="00CD6DF8"/>
    <w:rsid w:val="00CE0431"/>
    <w:rsid w:val="00CE065E"/>
    <w:rsid w:val="00CE10C1"/>
    <w:rsid w:val="00CE1457"/>
    <w:rsid w:val="00CE1785"/>
    <w:rsid w:val="00CE18B2"/>
    <w:rsid w:val="00CE1B5B"/>
    <w:rsid w:val="00CE2665"/>
    <w:rsid w:val="00CE2685"/>
    <w:rsid w:val="00CE3925"/>
    <w:rsid w:val="00CE393F"/>
    <w:rsid w:val="00CE3BD6"/>
    <w:rsid w:val="00CE51DB"/>
    <w:rsid w:val="00CE62AA"/>
    <w:rsid w:val="00CE6319"/>
    <w:rsid w:val="00CE6C38"/>
    <w:rsid w:val="00CE6F74"/>
    <w:rsid w:val="00CE7247"/>
    <w:rsid w:val="00CE7CFE"/>
    <w:rsid w:val="00CF0345"/>
    <w:rsid w:val="00CF1622"/>
    <w:rsid w:val="00CF17B1"/>
    <w:rsid w:val="00CF2D8C"/>
    <w:rsid w:val="00CF496B"/>
    <w:rsid w:val="00CF50DD"/>
    <w:rsid w:val="00CF6BD8"/>
    <w:rsid w:val="00CF767F"/>
    <w:rsid w:val="00CF7E6B"/>
    <w:rsid w:val="00D00021"/>
    <w:rsid w:val="00D00023"/>
    <w:rsid w:val="00D04E18"/>
    <w:rsid w:val="00D05595"/>
    <w:rsid w:val="00D05691"/>
    <w:rsid w:val="00D058E0"/>
    <w:rsid w:val="00D05F2A"/>
    <w:rsid w:val="00D06ED6"/>
    <w:rsid w:val="00D073F7"/>
    <w:rsid w:val="00D07873"/>
    <w:rsid w:val="00D07D9A"/>
    <w:rsid w:val="00D105DF"/>
    <w:rsid w:val="00D1085F"/>
    <w:rsid w:val="00D11B58"/>
    <w:rsid w:val="00D12927"/>
    <w:rsid w:val="00D13AFF"/>
    <w:rsid w:val="00D145A9"/>
    <w:rsid w:val="00D14B94"/>
    <w:rsid w:val="00D15574"/>
    <w:rsid w:val="00D17091"/>
    <w:rsid w:val="00D1778B"/>
    <w:rsid w:val="00D20B72"/>
    <w:rsid w:val="00D2117D"/>
    <w:rsid w:val="00D227C6"/>
    <w:rsid w:val="00D22FED"/>
    <w:rsid w:val="00D24039"/>
    <w:rsid w:val="00D2409B"/>
    <w:rsid w:val="00D24AEE"/>
    <w:rsid w:val="00D25323"/>
    <w:rsid w:val="00D25912"/>
    <w:rsid w:val="00D2643C"/>
    <w:rsid w:val="00D26914"/>
    <w:rsid w:val="00D26DC8"/>
    <w:rsid w:val="00D27592"/>
    <w:rsid w:val="00D30B41"/>
    <w:rsid w:val="00D30D8B"/>
    <w:rsid w:val="00D30E92"/>
    <w:rsid w:val="00D31153"/>
    <w:rsid w:val="00D3117F"/>
    <w:rsid w:val="00D31CD7"/>
    <w:rsid w:val="00D31FC1"/>
    <w:rsid w:val="00D329F3"/>
    <w:rsid w:val="00D32E5C"/>
    <w:rsid w:val="00D33588"/>
    <w:rsid w:val="00D35160"/>
    <w:rsid w:val="00D35C97"/>
    <w:rsid w:val="00D35CFB"/>
    <w:rsid w:val="00D36ACB"/>
    <w:rsid w:val="00D37220"/>
    <w:rsid w:val="00D372F7"/>
    <w:rsid w:val="00D37F8B"/>
    <w:rsid w:val="00D41F0B"/>
    <w:rsid w:val="00D42C04"/>
    <w:rsid w:val="00D44B63"/>
    <w:rsid w:val="00D45A73"/>
    <w:rsid w:val="00D45D0C"/>
    <w:rsid w:val="00D46CD9"/>
    <w:rsid w:val="00D4796D"/>
    <w:rsid w:val="00D503EA"/>
    <w:rsid w:val="00D50E4C"/>
    <w:rsid w:val="00D51376"/>
    <w:rsid w:val="00D51F19"/>
    <w:rsid w:val="00D54EA8"/>
    <w:rsid w:val="00D5532B"/>
    <w:rsid w:val="00D55986"/>
    <w:rsid w:val="00D56E5F"/>
    <w:rsid w:val="00D57A8F"/>
    <w:rsid w:val="00D57D3C"/>
    <w:rsid w:val="00D60232"/>
    <w:rsid w:val="00D61FEC"/>
    <w:rsid w:val="00D62355"/>
    <w:rsid w:val="00D625FB"/>
    <w:rsid w:val="00D62E49"/>
    <w:rsid w:val="00D63A00"/>
    <w:rsid w:val="00D63FB6"/>
    <w:rsid w:val="00D6403B"/>
    <w:rsid w:val="00D66282"/>
    <w:rsid w:val="00D66EDF"/>
    <w:rsid w:val="00D6715D"/>
    <w:rsid w:val="00D673FA"/>
    <w:rsid w:val="00D67447"/>
    <w:rsid w:val="00D6749F"/>
    <w:rsid w:val="00D67542"/>
    <w:rsid w:val="00D70FCF"/>
    <w:rsid w:val="00D7224B"/>
    <w:rsid w:val="00D727C5"/>
    <w:rsid w:val="00D72C69"/>
    <w:rsid w:val="00D730E6"/>
    <w:rsid w:val="00D731B6"/>
    <w:rsid w:val="00D74705"/>
    <w:rsid w:val="00D75191"/>
    <w:rsid w:val="00D7567C"/>
    <w:rsid w:val="00D75FBB"/>
    <w:rsid w:val="00D7605B"/>
    <w:rsid w:val="00D764F5"/>
    <w:rsid w:val="00D77012"/>
    <w:rsid w:val="00D805F6"/>
    <w:rsid w:val="00D80AB5"/>
    <w:rsid w:val="00D815BA"/>
    <w:rsid w:val="00D815F6"/>
    <w:rsid w:val="00D816C1"/>
    <w:rsid w:val="00D81937"/>
    <w:rsid w:val="00D81ED0"/>
    <w:rsid w:val="00D821AC"/>
    <w:rsid w:val="00D826EF"/>
    <w:rsid w:val="00D83120"/>
    <w:rsid w:val="00D840CA"/>
    <w:rsid w:val="00D85215"/>
    <w:rsid w:val="00D85AFF"/>
    <w:rsid w:val="00D86406"/>
    <w:rsid w:val="00D86901"/>
    <w:rsid w:val="00D86A61"/>
    <w:rsid w:val="00D8746E"/>
    <w:rsid w:val="00D90E74"/>
    <w:rsid w:val="00D92070"/>
    <w:rsid w:val="00D93663"/>
    <w:rsid w:val="00D93809"/>
    <w:rsid w:val="00D942CA"/>
    <w:rsid w:val="00D95011"/>
    <w:rsid w:val="00D955F7"/>
    <w:rsid w:val="00D9671D"/>
    <w:rsid w:val="00D97FA5"/>
    <w:rsid w:val="00DA005E"/>
    <w:rsid w:val="00DA0360"/>
    <w:rsid w:val="00DA0475"/>
    <w:rsid w:val="00DA08F7"/>
    <w:rsid w:val="00DA0F48"/>
    <w:rsid w:val="00DA0F6C"/>
    <w:rsid w:val="00DA1B78"/>
    <w:rsid w:val="00DA3589"/>
    <w:rsid w:val="00DA37E4"/>
    <w:rsid w:val="00DA386D"/>
    <w:rsid w:val="00DA3CFD"/>
    <w:rsid w:val="00DA4119"/>
    <w:rsid w:val="00DA4706"/>
    <w:rsid w:val="00DA570B"/>
    <w:rsid w:val="00DA5C12"/>
    <w:rsid w:val="00DA76BE"/>
    <w:rsid w:val="00DA7FA1"/>
    <w:rsid w:val="00DB03AB"/>
    <w:rsid w:val="00DB09FA"/>
    <w:rsid w:val="00DB1F24"/>
    <w:rsid w:val="00DB2517"/>
    <w:rsid w:val="00DB2F12"/>
    <w:rsid w:val="00DB2FC1"/>
    <w:rsid w:val="00DB3D9C"/>
    <w:rsid w:val="00DB4589"/>
    <w:rsid w:val="00DB473D"/>
    <w:rsid w:val="00DB509C"/>
    <w:rsid w:val="00DB5E77"/>
    <w:rsid w:val="00DB6F1E"/>
    <w:rsid w:val="00DB7CA9"/>
    <w:rsid w:val="00DC0011"/>
    <w:rsid w:val="00DC0C89"/>
    <w:rsid w:val="00DC0DC2"/>
    <w:rsid w:val="00DC108D"/>
    <w:rsid w:val="00DC11FF"/>
    <w:rsid w:val="00DC1CB4"/>
    <w:rsid w:val="00DC2B43"/>
    <w:rsid w:val="00DC68AB"/>
    <w:rsid w:val="00DC730A"/>
    <w:rsid w:val="00DC7A34"/>
    <w:rsid w:val="00DC7CBF"/>
    <w:rsid w:val="00DD04E0"/>
    <w:rsid w:val="00DD2329"/>
    <w:rsid w:val="00DD2423"/>
    <w:rsid w:val="00DD2C93"/>
    <w:rsid w:val="00DD31D2"/>
    <w:rsid w:val="00DD35A5"/>
    <w:rsid w:val="00DD3B49"/>
    <w:rsid w:val="00DD3CE9"/>
    <w:rsid w:val="00DD5F6F"/>
    <w:rsid w:val="00DD6BAA"/>
    <w:rsid w:val="00DD6F6A"/>
    <w:rsid w:val="00DD73CE"/>
    <w:rsid w:val="00DD7B31"/>
    <w:rsid w:val="00DD7B41"/>
    <w:rsid w:val="00DE04CE"/>
    <w:rsid w:val="00DE071D"/>
    <w:rsid w:val="00DE0C5B"/>
    <w:rsid w:val="00DE0E8A"/>
    <w:rsid w:val="00DE15E2"/>
    <w:rsid w:val="00DE1C37"/>
    <w:rsid w:val="00DE244D"/>
    <w:rsid w:val="00DE3037"/>
    <w:rsid w:val="00DE3255"/>
    <w:rsid w:val="00DE4D95"/>
    <w:rsid w:val="00DE578C"/>
    <w:rsid w:val="00DE58E7"/>
    <w:rsid w:val="00DE5B6C"/>
    <w:rsid w:val="00DE5D42"/>
    <w:rsid w:val="00DE6DB2"/>
    <w:rsid w:val="00DF01C6"/>
    <w:rsid w:val="00DF06C3"/>
    <w:rsid w:val="00DF0998"/>
    <w:rsid w:val="00DF10D9"/>
    <w:rsid w:val="00DF262B"/>
    <w:rsid w:val="00DF268A"/>
    <w:rsid w:val="00DF2989"/>
    <w:rsid w:val="00DF2FA1"/>
    <w:rsid w:val="00DF304D"/>
    <w:rsid w:val="00DF3400"/>
    <w:rsid w:val="00DF3C5F"/>
    <w:rsid w:val="00DF3FDD"/>
    <w:rsid w:val="00DF6141"/>
    <w:rsid w:val="00DF6439"/>
    <w:rsid w:val="00DF676B"/>
    <w:rsid w:val="00E00FDA"/>
    <w:rsid w:val="00E025E4"/>
    <w:rsid w:val="00E033BD"/>
    <w:rsid w:val="00E041D7"/>
    <w:rsid w:val="00E048B4"/>
    <w:rsid w:val="00E054FD"/>
    <w:rsid w:val="00E05A51"/>
    <w:rsid w:val="00E0652A"/>
    <w:rsid w:val="00E0661C"/>
    <w:rsid w:val="00E06963"/>
    <w:rsid w:val="00E1097C"/>
    <w:rsid w:val="00E11045"/>
    <w:rsid w:val="00E1170B"/>
    <w:rsid w:val="00E12003"/>
    <w:rsid w:val="00E1241D"/>
    <w:rsid w:val="00E13287"/>
    <w:rsid w:val="00E13C9A"/>
    <w:rsid w:val="00E148C6"/>
    <w:rsid w:val="00E14E0D"/>
    <w:rsid w:val="00E16BC1"/>
    <w:rsid w:val="00E17129"/>
    <w:rsid w:val="00E17C47"/>
    <w:rsid w:val="00E20FBA"/>
    <w:rsid w:val="00E2107A"/>
    <w:rsid w:val="00E21212"/>
    <w:rsid w:val="00E21550"/>
    <w:rsid w:val="00E22537"/>
    <w:rsid w:val="00E22F70"/>
    <w:rsid w:val="00E233FE"/>
    <w:rsid w:val="00E23CF8"/>
    <w:rsid w:val="00E24714"/>
    <w:rsid w:val="00E249B5"/>
    <w:rsid w:val="00E262CE"/>
    <w:rsid w:val="00E271B4"/>
    <w:rsid w:val="00E3038B"/>
    <w:rsid w:val="00E307C3"/>
    <w:rsid w:val="00E307FA"/>
    <w:rsid w:val="00E30E63"/>
    <w:rsid w:val="00E310F9"/>
    <w:rsid w:val="00E31E58"/>
    <w:rsid w:val="00E3294C"/>
    <w:rsid w:val="00E3316E"/>
    <w:rsid w:val="00E33D82"/>
    <w:rsid w:val="00E35A0B"/>
    <w:rsid w:val="00E370E3"/>
    <w:rsid w:val="00E3753C"/>
    <w:rsid w:val="00E37F0E"/>
    <w:rsid w:val="00E409E3"/>
    <w:rsid w:val="00E40FFF"/>
    <w:rsid w:val="00E4151D"/>
    <w:rsid w:val="00E416B3"/>
    <w:rsid w:val="00E41771"/>
    <w:rsid w:val="00E42272"/>
    <w:rsid w:val="00E430A7"/>
    <w:rsid w:val="00E45526"/>
    <w:rsid w:val="00E4580F"/>
    <w:rsid w:val="00E466A6"/>
    <w:rsid w:val="00E466C5"/>
    <w:rsid w:val="00E46965"/>
    <w:rsid w:val="00E46F6F"/>
    <w:rsid w:val="00E4724B"/>
    <w:rsid w:val="00E47B1D"/>
    <w:rsid w:val="00E5043C"/>
    <w:rsid w:val="00E50B65"/>
    <w:rsid w:val="00E51CEB"/>
    <w:rsid w:val="00E5223C"/>
    <w:rsid w:val="00E539D9"/>
    <w:rsid w:val="00E53CF6"/>
    <w:rsid w:val="00E54631"/>
    <w:rsid w:val="00E549EC"/>
    <w:rsid w:val="00E558CE"/>
    <w:rsid w:val="00E564BB"/>
    <w:rsid w:val="00E56BD9"/>
    <w:rsid w:val="00E5743F"/>
    <w:rsid w:val="00E60DA5"/>
    <w:rsid w:val="00E60DB7"/>
    <w:rsid w:val="00E61507"/>
    <w:rsid w:val="00E62295"/>
    <w:rsid w:val="00E6317C"/>
    <w:rsid w:val="00E63390"/>
    <w:rsid w:val="00E63892"/>
    <w:rsid w:val="00E642D2"/>
    <w:rsid w:val="00E648E4"/>
    <w:rsid w:val="00E64F4D"/>
    <w:rsid w:val="00E65183"/>
    <w:rsid w:val="00E65A03"/>
    <w:rsid w:val="00E66370"/>
    <w:rsid w:val="00E67C51"/>
    <w:rsid w:val="00E67D79"/>
    <w:rsid w:val="00E70658"/>
    <w:rsid w:val="00E70E58"/>
    <w:rsid w:val="00E70ED9"/>
    <w:rsid w:val="00E70FD8"/>
    <w:rsid w:val="00E71376"/>
    <w:rsid w:val="00E72DE2"/>
    <w:rsid w:val="00E73123"/>
    <w:rsid w:val="00E73874"/>
    <w:rsid w:val="00E73B43"/>
    <w:rsid w:val="00E755E6"/>
    <w:rsid w:val="00E76D6E"/>
    <w:rsid w:val="00E814AF"/>
    <w:rsid w:val="00E81EAD"/>
    <w:rsid w:val="00E82929"/>
    <w:rsid w:val="00E829D4"/>
    <w:rsid w:val="00E84ACD"/>
    <w:rsid w:val="00E84BBF"/>
    <w:rsid w:val="00E84DF4"/>
    <w:rsid w:val="00E854B1"/>
    <w:rsid w:val="00E85B13"/>
    <w:rsid w:val="00E869AC"/>
    <w:rsid w:val="00E87990"/>
    <w:rsid w:val="00E87A6A"/>
    <w:rsid w:val="00E902AC"/>
    <w:rsid w:val="00E908B5"/>
    <w:rsid w:val="00E923A7"/>
    <w:rsid w:val="00E92B16"/>
    <w:rsid w:val="00E9407C"/>
    <w:rsid w:val="00E94545"/>
    <w:rsid w:val="00E94C46"/>
    <w:rsid w:val="00E94D22"/>
    <w:rsid w:val="00E94F38"/>
    <w:rsid w:val="00E950BE"/>
    <w:rsid w:val="00E9600E"/>
    <w:rsid w:val="00E96453"/>
    <w:rsid w:val="00E97778"/>
    <w:rsid w:val="00E97EE4"/>
    <w:rsid w:val="00EA146D"/>
    <w:rsid w:val="00EA157E"/>
    <w:rsid w:val="00EA27C5"/>
    <w:rsid w:val="00EA2C33"/>
    <w:rsid w:val="00EA3895"/>
    <w:rsid w:val="00EA48D0"/>
    <w:rsid w:val="00EA498F"/>
    <w:rsid w:val="00EA4F0F"/>
    <w:rsid w:val="00EA59A6"/>
    <w:rsid w:val="00EA5E22"/>
    <w:rsid w:val="00EA6468"/>
    <w:rsid w:val="00EA740D"/>
    <w:rsid w:val="00EB10CA"/>
    <w:rsid w:val="00EB136F"/>
    <w:rsid w:val="00EB1AFB"/>
    <w:rsid w:val="00EB1D8C"/>
    <w:rsid w:val="00EB1E90"/>
    <w:rsid w:val="00EB1FF9"/>
    <w:rsid w:val="00EB5D30"/>
    <w:rsid w:val="00EB5D3A"/>
    <w:rsid w:val="00EB6539"/>
    <w:rsid w:val="00EB72FB"/>
    <w:rsid w:val="00EB7EF1"/>
    <w:rsid w:val="00EC1B4A"/>
    <w:rsid w:val="00EC2AB9"/>
    <w:rsid w:val="00EC3A36"/>
    <w:rsid w:val="00EC43E9"/>
    <w:rsid w:val="00EC451F"/>
    <w:rsid w:val="00EC5D06"/>
    <w:rsid w:val="00EC5E18"/>
    <w:rsid w:val="00EC618A"/>
    <w:rsid w:val="00EC6720"/>
    <w:rsid w:val="00EC6EF3"/>
    <w:rsid w:val="00EC795C"/>
    <w:rsid w:val="00ED1F20"/>
    <w:rsid w:val="00ED2724"/>
    <w:rsid w:val="00ED3AFB"/>
    <w:rsid w:val="00ED40EF"/>
    <w:rsid w:val="00ED55E2"/>
    <w:rsid w:val="00ED59C1"/>
    <w:rsid w:val="00ED6D5C"/>
    <w:rsid w:val="00ED6FA2"/>
    <w:rsid w:val="00EE15A2"/>
    <w:rsid w:val="00EE273E"/>
    <w:rsid w:val="00EE2D97"/>
    <w:rsid w:val="00EE2F45"/>
    <w:rsid w:val="00EE3156"/>
    <w:rsid w:val="00EE35B0"/>
    <w:rsid w:val="00EE40DC"/>
    <w:rsid w:val="00EE45E1"/>
    <w:rsid w:val="00EE4A6C"/>
    <w:rsid w:val="00EE5E34"/>
    <w:rsid w:val="00EE645C"/>
    <w:rsid w:val="00EE6AE1"/>
    <w:rsid w:val="00EE70A6"/>
    <w:rsid w:val="00EF12D1"/>
    <w:rsid w:val="00EF1F94"/>
    <w:rsid w:val="00EF2471"/>
    <w:rsid w:val="00EF2A4E"/>
    <w:rsid w:val="00EF3C6A"/>
    <w:rsid w:val="00EF3F1F"/>
    <w:rsid w:val="00EF4ABF"/>
    <w:rsid w:val="00EF4B15"/>
    <w:rsid w:val="00EF5B91"/>
    <w:rsid w:val="00EF5DF6"/>
    <w:rsid w:val="00EF6B4B"/>
    <w:rsid w:val="00EF6E5A"/>
    <w:rsid w:val="00EF73FC"/>
    <w:rsid w:val="00EF7B06"/>
    <w:rsid w:val="00F002F1"/>
    <w:rsid w:val="00F0079C"/>
    <w:rsid w:val="00F01554"/>
    <w:rsid w:val="00F01614"/>
    <w:rsid w:val="00F01EA5"/>
    <w:rsid w:val="00F0254C"/>
    <w:rsid w:val="00F02D11"/>
    <w:rsid w:val="00F048BE"/>
    <w:rsid w:val="00F055D1"/>
    <w:rsid w:val="00F0579B"/>
    <w:rsid w:val="00F05971"/>
    <w:rsid w:val="00F0633C"/>
    <w:rsid w:val="00F06414"/>
    <w:rsid w:val="00F07409"/>
    <w:rsid w:val="00F074ED"/>
    <w:rsid w:val="00F11594"/>
    <w:rsid w:val="00F11A6A"/>
    <w:rsid w:val="00F12F19"/>
    <w:rsid w:val="00F14860"/>
    <w:rsid w:val="00F14A1B"/>
    <w:rsid w:val="00F15138"/>
    <w:rsid w:val="00F15AD3"/>
    <w:rsid w:val="00F20878"/>
    <w:rsid w:val="00F20D8F"/>
    <w:rsid w:val="00F22F19"/>
    <w:rsid w:val="00F23207"/>
    <w:rsid w:val="00F2381E"/>
    <w:rsid w:val="00F23A3F"/>
    <w:rsid w:val="00F2469A"/>
    <w:rsid w:val="00F24834"/>
    <w:rsid w:val="00F24866"/>
    <w:rsid w:val="00F248F9"/>
    <w:rsid w:val="00F24B1D"/>
    <w:rsid w:val="00F25759"/>
    <w:rsid w:val="00F25B55"/>
    <w:rsid w:val="00F25F6D"/>
    <w:rsid w:val="00F26B24"/>
    <w:rsid w:val="00F31958"/>
    <w:rsid w:val="00F32643"/>
    <w:rsid w:val="00F3373F"/>
    <w:rsid w:val="00F33834"/>
    <w:rsid w:val="00F3449B"/>
    <w:rsid w:val="00F34B85"/>
    <w:rsid w:val="00F35155"/>
    <w:rsid w:val="00F35CDA"/>
    <w:rsid w:val="00F379DF"/>
    <w:rsid w:val="00F4053E"/>
    <w:rsid w:val="00F4057B"/>
    <w:rsid w:val="00F4255E"/>
    <w:rsid w:val="00F42879"/>
    <w:rsid w:val="00F4348B"/>
    <w:rsid w:val="00F447A7"/>
    <w:rsid w:val="00F44E60"/>
    <w:rsid w:val="00F45201"/>
    <w:rsid w:val="00F4567F"/>
    <w:rsid w:val="00F4574B"/>
    <w:rsid w:val="00F45D8D"/>
    <w:rsid w:val="00F464C9"/>
    <w:rsid w:val="00F51611"/>
    <w:rsid w:val="00F5368C"/>
    <w:rsid w:val="00F53C13"/>
    <w:rsid w:val="00F54974"/>
    <w:rsid w:val="00F560AC"/>
    <w:rsid w:val="00F579DB"/>
    <w:rsid w:val="00F57EE3"/>
    <w:rsid w:val="00F60870"/>
    <w:rsid w:val="00F61012"/>
    <w:rsid w:val="00F61F86"/>
    <w:rsid w:val="00F632BC"/>
    <w:rsid w:val="00F64EBD"/>
    <w:rsid w:val="00F65D12"/>
    <w:rsid w:val="00F67E2D"/>
    <w:rsid w:val="00F70035"/>
    <w:rsid w:val="00F70AAF"/>
    <w:rsid w:val="00F719B4"/>
    <w:rsid w:val="00F71CEB"/>
    <w:rsid w:val="00F71D38"/>
    <w:rsid w:val="00F71F37"/>
    <w:rsid w:val="00F7223C"/>
    <w:rsid w:val="00F729AC"/>
    <w:rsid w:val="00F734B0"/>
    <w:rsid w:val="00F76F13"/>
    <w:rsid w:val="00F81BFD"/>
    <w:rsid w:val="00F83880"/>
    <w:rsid w:val="00F83A30"/>
    <w:rsid w:val="00F843C3"/>
    <w:rsid w:val="00F847C3"/>
    <w:rsid w:val="00F84B0F"/>
    <w:rsid w:val="00F84D72"/>
    <w:rsid w:val="00F85260"/>
    <w:rsid w:val="00F85460"/>
    <w:rsid w:val="00F855F7"/>
    <w:rsid w:val="00F86650"/>
    <w:rsid w:val="00F8672A"/>
    <w:rsid w:val="00F87C61"/>
    <w:rsid w:val="00F900DD"/>
    <w:rsid w:val="00F90628"/>
    <w:rsid w:val="00F91A23"/>
    <w:rsid w:val="00F92140"/>
    <w:rsid w:val="00F92884"/>
    <w:rsid w:val="00F92A95"/>
    <w:rsid w:val="00F92CDA"/>
    <w:rsid w:val="00F9390A"/>
    <w:rsid w:val="00F93D79"/>
    <w:rsid w:val="00F93F72"/>
    <w:rsid w:val="00F9450A"/>
    <w:rsid w:val="00F94C23"/>
    <w:rsid w:val="00F96519"/>
    <w:rsid w:val="00F970C1"/>
    <w:rsid w:val="00F970D2"/>
    <w:rsid w:val="00F979E9"/>
    <w:rsid w:val="00F97C98"/>
    <w:rsid w:val="00FA0195"/>
    <w:rsid w:val="00FA23E7"/>
    <w:rsid w:val="00FA2691"/>
    <w:rsid w:val="00FA2A79"/>
    <w:rsid w:val="00FA32D8"/>
    <w:rsid w:val="00FA3815"/>
    <w:rsid w:val="00FA4123"/>
    <w:rsid w:val="00FA49AF"/>
    <w:rsid w:val="00FA521F"/>
    <w:rsid w:val="00FA6722"/>
    <w:rsid w:val="00FA7233"/>
    <w:rsid w:val="00FA7F9B"/>
    <w:rsid w:val="00FB055D"/>
    <w:rsid w:val="00FB0BEF"/>
    <w:rsid w:val="00FB10DC"/>
    <w:rsid w:val="00FB14F9"/>
    <w:rsid w:val="00FB16D3"/>
    <w:rsid w:val="00FB1AC8"/>
    <w:rsid w:val="00FB1F29"/>
    <w:rsid w:val="00FB2534"/>
    <w:rsid w:val="00FB32E8"/>
    <w:rsid w:val="00FB3608"/>
    <w:rsid w:val="00FB3829"/>
    <w:rsid w:val="00FB4828"/>
    <w:rsid w:val="00FB50A7"/>
    <w:rsid w:val="00FB5A1C"/>
    <w:rsid w:val="00FB5B82"/>
    <w:rsid w:val="00FB62C9"/>
    <w:rsid w:val="00FB6338"/>
    <w:rsid w:val="00FB6702"/>
    <w:rsid w:val="00FC03D8"/>
    <w:rsid w:val="00FC0525"/>
    <w:rsid w:val="00FC15D9"/>
    <w:rsid w:val="00FC15E8"/>
    <w:rsid w:val="00FC1A01"/>
    <w:rsid w:val="00FC2397"/>
    <w:rsid w:val="00FC2430"/>
    <w:rsid w:val="00FC4147"/>
    <w:rsid w:val="00FC51E9"/>
    <w:rsid w:val="00FC5331"/>
    <w:rsid w:val="00FC593A"/>
    <w:rsid w:val="00FC7258"/>
    <w:rsid w:val="00FC752A"/>
    <w:rsid w:val="00FC78A0"/>
    <w:rsid w:val="00FC7B28"/>
    <w:rsid w:val="00FC7F62"/>
    <w:rsid w:val="00FD05FF"/>
    <w:rsid w:val="00FD142B"/>
    <w:rsid w:val="00FD1E29"/>
    <w:rsid w:val="00FD25F3"/>
    <w:rsid w:val="00FD2A02"/>
    <w:rsid w:val="00FD3B5B"/>
    <w:rsid w:val="00FD56B2"/>
    <w:rsid w:val="00FD595E"/>
    <w:rsid w:val="00FD5A66"/>
    <w:rsid w:val="00FD710B"/>
    <w:rsid w:val="00FE05A1"/>
    <w:rsid w:val="00FE0A6F"/>
    <w:rsid w:val="00FE135F"/>
    <w:rsid w:val="00FE15DE"/>
    <w:rsid w:val="00FE1BC9"/>
    <w:rsid w:val="00FE2240"/>
    <w:rsid w:val="00FE3029"/>
    <w:rsid w:val="00FE43DD"/>
    <w:rsid w:val="00FE4821"/>
    <w:rsid w:val="00FE598D"/>
    <w:rsid w:val="00FE65C4"/>
    <w:rsid w:val="00FE7794"/>
    <w:rsid w:val="00FE7958"/>
    <w:rsid w:val="00FE7A6B"/>
    <w:rsid w:val="00FF3FE1"/>
    <w:rsid w:val="00FF5883"/>
    <w:rsid w:val="011842E2"/>
    <w:rsid w:val="022A52D7"/>
    <w:rsid w:val="026055AD"/>
    <w:rsid w:val="02C151AC"/>
    <w:rsid w:val="04112DBA"/>
    <w:rsid w:val="05E605D6"/>
    <w:rsid w:val="05E63992"/>
    <w:rsid w:val="060A68AE"/>
    <w:rsid w:val="0685401D"/>
    <w:rsid w:val="07381A2A"/>
    <w:rsid w:val="07442DEF"/>
    <w:rsid w:val="07520100"/>
    <w:rsid w:val="07624190"/>
    <w:rsid w:val="0794775D"/>
    <w:rsid w:val="079B7131"/>
    <w:rsid w:val="08CC5123"/>
    <w:rsid w:val="08D15A67"/>
    <w:rsid w:val="093E6C5B"/>
    <w:rsid w:val="09D80890"/>
    <w:rsid w:val="0A923D23"/>
    <w:rsid w:val="0AF70859"/>
    <w:rsid w:val="0B3C546C"/>
    <w:rsid w:val="0BA05C7D"/>
    <w:rsid w:val="0C2654F6"/>
    <w:rsid w:val="0C4335DE"/>
    <w:rsid w:val="0C971873"/>
    <w:rsid w:val="0D3452D5"/>
    <w:rsid w:val="0E0D383A"/>
    <w:rsid w:val="0E16578D"/>
    <w:rsid w:val="0E3736DD"/>
    <w:rsid w:val="0E584B0C"/>
    <w:rsid w:val="0EEC758A"/>
    <w:rsid w:val="113A7CDA"/>
    <w:rsid w:val="119357A7"/>
    <w:rsid w:val="11DC3F70"/>
    <w:rsid w:val="126F56B9"/>
    <w:rsid w:val="129937BA"/>
    <w:rsid w:val="145E1CF0"/>
    <w:rsid w:val="14BF4BD6"/>
    <w:rsid w:val="150F7BD6"/>
    <w:rsid w:val="152D460B"/>
    <w:rsid w:val="15A221AA"/>
    <w:rsid w:val="15AA68EC"/>
    <w:rsid w:val="17D403F6"/>
    <w:rsid w:val="18730D9F"/>
    <w:rsid w:val="199B0D0E"/>
    <w:rsid w:val="1AA4363A"/>
    <w:rsid w:val="1AA76347"/>
    <w:rsid w:val="1AC9122E"/>
    <w:rsid w:val="1AE73748"/>
    <w:rsid w:val="1AFA4889"/>
    <w:rsid w:val="1C0D6C92"/>
    <w:rsid w:val="1DC97235"/>
    <w:rsid w:val="1EBA5C6D"/>
    <w:rsid w:val="1EF505BF"/>
    <w:rsid w:val="1F5B7E4F"/>
    <w:rsid w:val="1F9D2243"/>
    <w:rsid w:val="20E21038"/>
    <w:rsid w:val="227043CA"/>
    <w:rsid w:val="261677C4"/>
    <w:rsid w:val="26C806E7"/>
    <w:rsid w:val="280D42DB"/>
    <w:rsid w:val="28725F7B"/>
    <w:rsid w:val="28DE3BA9"/>
    <w:rsid w:val="29787775"/>
    <w:rsid w:val="2A767E6D"/>
    <w:rsid w:val="2B2A2316"/>
    <w:rsid w:val="2C206FA6"/>
    <w:rsid w:val="2C4D55A1"/>
    <w:rsid w:val="2CC10F23"/>
    <w:rsid w:val="2CE11261"/>
    <w:rsid w:val="2D4F26C1"/>
    <w:rsid w:val="2D6C11C6"/>
    <w:rsid w:val="2DD71696"/>
    <w:rsid w:val="2FD9775D"/>
    <w:rsid w:val="2FE924C5"/>
    <w:rsid w:val="305011EA"/>
    <w:rsid w:val="3103144E"/>
    <w:rsid w:val="313D6879"/>
    <w:rsid w:val="325A1391"/>
    <w:rsid w:val="342378EF"/>
    <w:rsid w:val="345C2304"/>
    <w:rsid w:val="34C82379"/>
    <w:rsid w:val="376D756B"/>
    <w:rsid w:val="39765D01"/>
    <w:rsid w:val="3D9E0B5D"/>
    <w:rsid w:val="3DD806BD"/>
    <w:rsid w:val="3E2433DA"/>
    <w:rsid w:val="3E5000DD"/>
    <w:rsid w:val="3E8E5448"/>
    <w:rsid w:val="3FF16ADD"/>
    <w:rsid w:val="40E1466A"/>
    <w:rsid w:val="41476DCD"/>
    <w:rsid w:val="423140CA"/>
    <w:rsid w:val="44161902"/>
    <w:rsid w:val="444827F8"/>
    <w:rsid w:val="445277BC"/>
    <w:rsid w:val="45002DFD"/>
    <w:rsid w:val="45237776"/>
    <w:rsid w:val="45B5132F"/>
    <w:rsid w:val="45DA47BA"/>
    <w:rsid w:val="45ED094E"/>
    <w:rsid w:val="460C5AF3"/>
    <w:rsid w:val="468154D7"/>
    <w:rsid w:val="46D33B6F"/>
    <w:rsid w:val="482228BA"/>
    <w:rsid w:val="4854310E"/>
    <w:rsid w:val="486940A1"/>
    <w:rsid w:val="488C64B2"/>
    <w:rsid w:val="48A532E9"/>
    <w:rsid w:val="48B04D36"/>
    <w:rsid w:val="48D10424"/>
    <w:rsid w:val="490A411C"/>
    <w:rsid w:val="490B3219"/>
    <w:rsid w:val="4BB46135"/>
    <w:rsid w:val="4CFE21AC"/>
    <w:rsid w:val="4D8319F4"/>
    <w:rsid w:val="4DA7291E"/>
    <w:rsid w:val="4DDA3FB5"/>
    <w:rsid w:val="4E607472"/>
    <w:rsid w:val="4F466EF0"/>
    <w:rsid w:val="4F504079"/>
    <w:rsid w:val="50C24DF4"/>
    <w:rsid w:val="51747C96"/>
    <w:rsid w:val="52DD7985"/>
    <w:rsid w:val="54E75C9C"/>
    <w:rsid w:val="557941FC"/>
    <w:rsid w:val="55BB7BAA"/>
    <w:rsid w:val="56517EF0"/>
    <w:rsid w:val="57EA0068"/>
    <w:rsid w:val="58CB74BD"/>
    <w:rsid w:val="58D50806"/>
    <w:rsid w:val="58ED3A68"/>
    <w:rsid w:val="593C6796"/>
    <w:rsid w:val="595A2DEA"/>
    <w:rsid w:val="5A162406"/>
    <w:rsid w:val="5A1A12AF"/>
    <w:rsid w:val="5A275F9D"/>
    <w:rsid w:val="5A6D4BF0"/>
    <w:rsid w:val="5B0F73A2"/>
    <w:rsid w:val="5D386B8E"/>
    <w:rsid w:val="5E9D1CDA"/>
    <w:rsid w:val="5F7006B6"/>
    <w:rsid w:val="5F812365"/>
    <w:rsid w:val="6011789B"/>
    <w:rsid w:val="6034265C"/>
    <w:rsid w:val="6092223C"/>
    <w:rsid w:val="62285219"/>
    <w:rsid w:val="64017C17"/>
    <w:rsid w:val="64764548"/>
    <w:rsid w:val="66042D32"/>
    <w:rsid w:val="665C7F08"/>
    <w:rsid w:val="673B717D"/>
    <w:rsid w:val="678B61AB"/>
    <w:rsid w:val="67BB344C"/>
    <w:rsid w:val="67F939BF"/>
    <w:rsid w:val="68D752CA"/>
    <w:rsid w:val="68F10B16"/>
    <w:rsid w:val="69F92554"/>
    <w:rsid w:val="6A69621F"/>
    <w:rsid w:val="6AFE5BE6"/>
    <w:rsid w:val="6DB07C94"/>
    <w:rsid w:val="6E280B77"/>
    <w:rsid w:val="6EB8270B"/>
    <w:rsid w:val="72351ED1"/>
    <w:rsid w:val="729C28A2"/>
    <w:rsid w:val="7325666D"/>
    <w:rsid w:val="74160DB7"/>
    <w:rsid w:val="75E140E5"/>
    <w:rsid w:val="76800862"/>
    <w:rsid w:val="768903E9"/>
    <w:rsid w:val="77C2046A"/>
    <w:rsid w:val="79120D1B"/>
    <w:rsid w:val="79162776"/>
    <w:rsid w:val="7A53031C"/>
    <w:rsid w:val="7B384F71"/>
    <w:rsid w:val="7B946560"/>
    <w:rsid w:val="7C231C97"/>
    <w:rsid w:val="7C6C33E6"/>
    <w:rsid w:val="7F1842FB"/>
    <w:rsid w:val="7F7A1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qFormat/>
    <w:uiPriority w:val="0"/>
    <w:pPr>
      <w:keepNext/>
      <w:keepLines/>
      <w:adjustRightInd w:val="0"/>
      <w:spacing w:before="340" w:after="330" w:line="578" w:lineRule="atLeast"/>
      <w:textAlignment w:val="baseline"/>
      <w:outlineLvl w:val="0"/>
    </w:pPr>
    <w:rPr>
      <w:rFonts w:ascii="宋体" w:hAnsi="宋体"/>
      <w:b/>
      <w:bCs/>
      <w:kern w:val="44"/>
      <w:sz w:val="32"/>
      <w:szCs w:val="44"/>
    </w:rPr>
  </w:style>
  <w:style w:type="paragraph" w:styleId="4">
    <w:name w:val="heading 2"/>
    <w:basedOn w:val="1"/>
    <w:next w:val="1"/>
    <w:link w:val="48"/>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3"/>
    <w:qFormat/>
    <w:uiPriority w:val="0"/>
    <w:pPr>
      <w:keepNext/>
      <w:keepLines/>
      <w:spacing w:before="260" w:after="260" w:line="415" w:lineRule="auto"/>
      <w:outlineLvl w:val="2"/>
    </w:pPr>
    <w:rPr>
      <w:b/>
      <w:bCs/>
      <w:sz w:val="32"/>
      <w:szCs w:val="32"/>
    </w:rPr>
  </w:style>
  <w:style w:type="paragraph" w:styleId="6">
    <w:name w:val="heading 4"/>
    <w:basedOn w:val="1"/>
    <w:next w:val="1"/>
    <w:link w:val="49"/>
    <w:qFormat/>
    <w:uiPriority w:val="9"/>
    <w:pPr>
      <w:keepNext/>
      <w:keepLines/>
      <w:spacing w:before="280" w:after="290" w:line="376" w:lineRule="auto"/>
      <w:outlineLvl w:val="3"/>
    </w:pPr>
    <w:rPr>
      <w:rFonts w:ascii="Calibri" w:hAnsi="Calibri"/>
      <w:b/>
      <w:bCs/>
      <w:sz w:val="28"/>
      <w:szCs w:val="28"/>
    </w:rPr>
  </w:style>
  <w:style w:type="character" w:default="1" w:styleId="27">
    <w:name w:val="Default Paragraph Font"/>
    <w:semiHidden/>
    <w:unhideWhenUsed/>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2"/>
    <w:basedOn w:val="1"/>
    <w:link w:val="36"/>
    <w:qFormat/>
    <w:uiPriority w:val="0"/>
    <w:pPr>
      <w:spacing w:line="560" w:lineRule="exact"/>
      <w:ind w:left="-107" w:leftChars="-51" w:firstLine="540" w:firstLineChars="225"/>
    </w:pPr>
    <w:rPr>
      <w:sz w:val="24"/>
    </w:rPr>
  </w:style>
  <w:style w:type="paragraph" w:styleId="7">
    <w:name w:val="Normal Indent"/>
    <w:basedOn w:val="1"/>
    <w:link w:val="78"/>
    <w:qFormat/>
    <w:uiPriority w:val="0"/>
    <w:pPr>
      <w:spacing w:line="360" w:lineRule="auto"/>
      <w:ind w:firstLine="420"/>
    </w:pPr>
    <w:rPr>
      <w:rFonts w:ascii="仿宋_GB2312" w:hAnsi="Arial Black" w:eastAsia="仿宋_GB2312"/>
      <w:kern w:val="0"/>
      <w:sz w:val="28"/>
      <w:szCs w:val="20"/>
    </w:rPr>
  </w:style>
  <w:style w:type="paragraph" w:styleId="8">
    <w:name w:val="Document Map"/>
    <w:basedOn w:val="1"/>
    <w:link w:val="67"/>
    <w:unhideWhenUsed/>
    <w:qFormat/>
    <w:uiPriority w:val="0"/>
    <w:rPr>
      <w:rFonts w:ascii="宋体"/>
      <w:sz w:val="18"/>
      <w:szCs w:val="18"/>
    </w:rPr>
  </w:style>
  <w:style w:type="paragraph" w:styleId="9">
    <w:name w:val="annotation text"/>
    <w:basedOn w:val="1"/>
    <w:link w:val="53"/>
    <w:unhideWhenUsed/>
    <w:qFormat/>
    <w:uiPriority w:val="0"/>
    <w:pPr>
      <w:jc w:val="left"/>
    </w:pPr>
  </w:style>
  <w:style w:type="paragraph" w:styleId="10">
    <w:name w:val="Body Text"/>
    <w:basedOn w:val="1"/>
    <w:link w:val="73"/>
    <w:unhideWhenUsed/>
    <w:qFormat/>
    <w:uiPriority w:val="0"/>
    <w:pPr>
      <w:spacing w:after="120"/>
    </w:pPr>
  </w:style>
  <w:style w:type="paragraph" w:styleId="11">
    <w:name w:val="Body Text Indent"/>
    <w:basedOn w:val="1"/>
    <w:link w:val="62"/>
    <w:qFormat/>
    <w:uiPriority w:val="0"/>
    <w:pPr>
      <w:spacing w:beforeLines="50" w:line="400" w:lineRule="exact"/>
      <w:ind w:firstLine="596" w:firstLineChars="213"/>
    </w:pPr>
    <w:rPr>
      <w:rFonts w:ascii="Calibri" w:hAnsi="Calibri" w:eastAsia="华文楷体"/>
      <w:kern w:val="0"/>
      <w:sz w:val="28"/>
    </w:rPr>
  </w:style>
  <w:style w:type="paragraph" w:styleId="12">
    <w:name w:val="Plain Text"/>
    <w:basedOn w:val="1"/>
    <w:link w:val="35"/>
    <w:qFormat/>
    <w:uiPriority w:val="0"/>
    <w:pPr>
      <w:spacing w:line="360" w:lineRule="auto"/>
      <w:ind w:firstLine="617" w:firstLineChars="257"/>
    </w:pPr>
    <w:rPr>
      <w:rFonts w:ascii="宋体" w:hAnsi="Courier New"/>
      <w:kern w:val="0"/>
      <w:sz w:val="24"/>
      <w:szCs w:val="21"/>
    </w:rPr>
  </w:style>
  <w:style w:type="paragraph" w:styleId="13">
    <w:name w:val="Date"/>
    <w:basedOn w:val="1"/>
    <w:next w:val="1"/>
    <w:link w:val="58"/>
    <w:qFormat/>
    <w:uiPriority w:val="0"/>
    <w:rPr>
      <w:sz w:val="32"/>
      <w:szCs w:val="20"/>
    </w:rPr>
  </w:style>
  <w:style w:type="paragraph" w:styleId="14">
    <w:name w:val="Balloon Text"/>
    <w:basedOn w:val="1"/>
    <w:link w:val="37"/>
    <w:qFormat/>
    <w:uiPriority w:val="0"/>
    <w:rPr>
      <w:rFonts w:ascii="Calibri" w:hAnsi="Calibri"/>
      <w:kern w:val="0"/>
      <w:sz w:val="18"/>
      <w:szCs w:val="18"/>
    </w:rPr>
  </w:style>
  <w:style w:type="paragraph" w:styleId="15">
    <w:name w:val="footer"/>
    <w:basedOn w:val="1"/>
    <w:link w:val="34"/>
    <w:unhideWhenUsed/>
    <w:qFormat/>
    <w:uiPriority w:val="99"/>
    <w:pPr>
      <w:tabs>
        <w:tab w:val="center" w:pos="4153"/>
        <w:tab w:val="right" w:pos="8306"/>
      </w:tabs>
      <w:snapToGrid w:val="0"/>
      <w:jc w:val="left"/>
    </w:pPr>
    <w:rPr>
      <w:rFonts w:ascii="Calibri" w:hAnsi="Calibri"/>
      <w:kern w:val="0"/>
      <w:sz w:val="18"/>
      <w:szCs w:val="18"/>
    </w:rPr>
  </w:style>
  <w:style w:type="paragraph" w:styleId="16">
    <w:name w:val="header"/>
    <w:basedOn w:val="1"/>
    <w:link w:val="66"/>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7">
    <w:name w:val="toc 1"/>
    <w:basedOn w:val="1"/>
    <w:next w:val="1"/>
    <w:unhideWhenUsed/>
    <w:qFormat/>
    <w:uiPriority w:val="39"/>
  </w:style>
  <w:style w:type="paragraph" w:styleId="18">
    <w:name w:val="List"/>
    <w:basedOn w:val="1"/>
    <w:unhideWhenUsed/>
    <w:qFormat/>
    <w:uiPriority w:val="99"/>
    <w:pPr>
      <w:ind w:left="200" w:hanging="200" w:hangingChars="200"/>
      <w:contextualSpacing/>
    </w:pPr>
  </w:style>
  <w:style w:type="paragraph" w:styleId="19">
    <w:name w:val="Body Text Indent 3"/>
    <w:basedOn w:val="1"/>
    <w:link w:val="70"/>
    <w:qFormat/>
    <w:uiPriority w:val="0"/>
    <w:pPr>
      <w:spacing w:line="520" w:lineRule="exact"/>
      <w:ind w:firstLine="480" w:firstLineChars="200"/>
    </w:pPr>
    <w:rPr>
      <w:rFonts w:ascii="宋体" w:hAnsi="宋体"/>
      <w:sz w:val="24"/>
    </w:rPr>
  </w:style>
  <w:style w:type="paragraph" w:styleId="20">
    <w:name w:val="HTML Preformatted"/>
    <w:basedOn w:val="1"/>
    <w:link w:val="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1">
    <w:name w:val="Normal (Web)"/>
    <w:basedOn w:val="1"/>
    <w:qFormat/>
    <w:uiPriority w:val="0"/>
    <w:pPr>
      <w:widowControl/>
      <w:spacing w:before="100" w:beforeAutospacing="1" w:after="100" w:afterAutospacing="1"/>
      <w:jc w:val="left"/>
    </w:pPr>
    <w:rPr>
      <w:rFonts w:ascii="Arial" w:hAnsi="Arial" w:eastAsia="Arial" w:cs="Arial"/>
      <w:kern w:val="0"/>
      <w:sz w:val="20"/>
      <w:szCs w:val="20"/>
    </w:rPr>
  </w:style>
  <w:style w:type="paragraph" w:styleId="22">
    <w:name w:val="Title"/>
    <w:basedOn w:val="1"/>
    <w:next w:val="1"/>
    <w:link w:val="89"/>
    <w:qFormat/>
    <w:uiPriority w:val="10"/>
    <w:pPr>
      <w:spacing w:before="240" w:after="60"/>
      <w:jc w:val="center"/>
      <w:outlineLvl w:val="0"/>
    </w:pPr>
    <w:rPr>
      <w:rFonts w:ascii="Cambria" w:hAnsi="Cambria"/>
      <w:b/>
      <w:bCs/>
      <w:sz w:val="32"/>
      <w:szCs w:val="32"/>
    </w:rPr>
  </w:style>
  <w:style w:type="paragraph" w:styleId="23">
    <w:name w:val="annotation subject"/>
    <w:basedOn w:val="9"/>
    <w:next w:val="9"/>
    <w:link w:val="52"/>
    <w:qFormat/>
    <w:uiPriority w:val="0"/>
    <w:rPr>
      <w:rFonts w:ascii="Calibri" w:hAnsi="Calibri"/>
      <w:b/>
      <w:bCs/>
      <w:kern w:val="0"/>
      <w:sz w:val="20"/>
    </w:rPr>
  </w:style>
  <w:style w:type="paragraph" w:styleId="24">
    <w:name w:val="Body Text First Indent 2"/>
    <w:basedOn w:val="11"/>
    <w:link w:val="40"/>
    <w:qFormat/>
    <w:uiPriority w:val="0"/>
    <w:pPr>
      <w:spacing w:beforeLines="0" w:after="120" w:line="240" w:lineRule="auto"/>
      <w:ind w:left="420" w:leftChars="200" w:firstLine="420" w:firstLineChars="200"/>
    </w:pPr>
    <w:rPr>
      <w:rFonts w:ascii="Times New Roman" w:hAnsi="Times New Roman"/>
      <w:kern w:val="2"/>
      <w:sz w:val="21"/>
    </w:rPr>
  </w:style>
  <w:style w:type="table" w:styleId="26">
    <w:name w:val="Table Grid"/>
    <w:basedOn w:val="2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8">
    <w:name w:val="Strong"/>
    <w:qFormat/>
    <w:uiPriority w:val="0"/>
    <w:rPr>
      <w:b/>
      <w:bCs/>
    </w:rPr>
  </w:style>
  <w:style w:type="character" w:styleId="29">
    <w:name w:val="page number"/>
    <w:basedOn w:val="27"/>
    <w:qFormat/>
    <w:uiPriority w:val="0"/>
  </w:style>
  <w:style w:type="character" w:styleId="30">
    <w:name w:val="Emphasis"/>
    <w:qFormat/>
    <w:uiPriority w:val="20"/>
    <w:rPr>
      <w:color w:val="CC0000"/>
    </w:rPr>
  </w:style>
  <w:style w:type="character" w:styleId="31">
    <w:name w:val="Hyperlink"/>
    <w:qFormat/>
    <w:uiPriority w:val="99"/>
    <w:rPr>
      <w:color w:val="0000FF"/>
      <w:u w:val="single"/>
    </w:rPr>
  </w:style>
  <w:style w:type="character" w:styleId="32">
    <w:name w:val="annotation reference"/>
    <w:qFormat/>
    <w:uiPriority w:val="0"/>
    <w:rPr>
      <w:sz w:val="21"/>
      <w:szCs w:val="21"/>
    </w:rPr>
  </w:style>
  <w:style w:type="character" w:customStyle="1" w:styleId="33">
    <w:name w:val="标题 3 字符"/>
    <w:link w:val="5"/>
    <w:qFormat/>
    <w:uiPriority w:val="0"/>
    <w:rPr>
      <w:rFonts w:ascii="Times New Roman" w:hAnsi="Times New Roman"/>
      <w:b/>
      <w:bCs/>
      <w:kern w:val="2"/>
      <w:sz w:val="32"/>
      <w:szCs w:val="32"/>
    </w:rPr>
  </w:style>
  <w:style w:type="character" w:customStyle="1" w:styleId="34">
    <w:name w:val="页脚 字符"/>
    <w:link w:val="15"/>
    <w:qFormat/>
    <w:uiPriority w:val="99"/>
    <w:rPr>
      <w:sz w:val="18"/>
      <w:szCs w:val="18"/>
    </w:rPr>
  </w:style>
  <w:style w:type="character" w:customStyle="1" w:styleId="35">
    <w:name w:val="纯文本 字符"/>
    <w:link w:val="12"/>
    <w:qFormat/>
    <w:uiPriority w:val="0"/>
    <w:rPr>
      <w:rFonts w:ascii="宋体" w:hAnsi="Courier New" w:cs="Courier New"/>
      <w:sz w:val="24"/>
      <w:szCs w:val="21"/>
    </w:rPr>
  </w:style>
  <w:style w:type="character" w:customStyle="1" w:styleId="36">
    <w:name w:val="正文文本缩进 2 字符"/>
    <w:link w:val="2"/>
    <w:qFormat/>
    <w:uiPriority w:val="0"/>
    <w:rPr>
      <w:rFonts w:ascii="Times New Roman" w:hAnsi="Times New Roman"/>
      <w:kern w:val="2"/>
      <w:sz w:val="24"/>
      <w:szCs w:val="24"/>
    </w:rPr>
  </w:style>
  <w:style w:type="character" w:customStyle="1" w:styleId="37">
    <w:name w:val="批注框文本 字符"/>
    <w:link w:val="14"/>
    <w:qFormat/>
    <w:uiPriority w:val="0"/>
    <w:rPr>
      <w:sz w:val="18"/>
      <w:szCs w:val="18"/>
    </w:rPr>
  </w:style>
  <w:style w:type="character" w:customStyle="1" w:styleId="38">
    <w:name w:val="批注框文本 Char1"/>
    <w:semiHidden/>
    <w:qFormat/>
    <w:uiPriority w:val="99"/>
    <w:rPr>
      <w:rFonts w:ascii="Times New Roman" w:hAnsi="Times New Roman"/>
      <w:kern w:val="2"/>
      <w:sz w:val="18"/>
      <w:szCs w:val="18"/>
    </w:rPr>
  </w:style>
  <w:style w:type="character" w:customStyle="1" w:styleId="39">
    <w:name w:val="标题 1 Char"/>
    <w:qFormat/>
    <w:uiPriority w:val="0"/>
    <w:rPr>
      <w:rFonts w:ascii="Times New Roman" w:hAnsi="Times New Roman"/>
      <w:b/>
      <w:bCs/>
      <w:kern w:val="44"/>
      <w:sz w:val="44"/>
      <w:szCs w:val="44"/>
    </w:rPr>
  </w:style>
  <w:style w:type="character" w:customStyle="1" w:styleId="40">
    <w:name w:val="正文文本首行缩进 2 字符"/>
    <w:link w:val="24"/>
    <w:qFormat/>
    <w:uiPriority w:val="0"/>
    <w:rPr>
      <w:rFonts w:ascii="Times New Roman" w:hAnsi="Times New Roman" w:eastAsia="华文楷体"/>
      <w:kern w:val="2"/>
      <w:sz w:val="21"/>
      <w:szCs w:val="24"/>
    </w:rPr>
  </w:style>
  <w:style w:type="character" w:customStyle="1" w:styleId="41">
    <w:name w:val="正文格式 Char Char"/>
    <w:link w:val="42"/>
    <w:qFormat/>
    <w:uiPriority w:val="0"/>
    <w:rPr>
      <w:rFonts w:ascii="宋体" w:hAnsi="宋体"/>
      <w:sz w:val="24"/>
      <w:szCs w:val="24"/>
    </w:rPr>
  </w:style>
  <w:style w:type="paragraph" w:customStyle="1" w:styleId="42">
    <w:name w:val="正文格式"/>
    <w:basedOn w:val="1"/>
    <w:link w:val="41"/>
    <w:qFormat/>
    <w:uiPriority w:val="0"/>
    <w:pPr>
      <w:spacing w:line="360" w:lineRule="auto"/>
      <w:ind w:firstLine="482"/>
    </w:pPr>
    <w:rPr>
      <w:rFonts w:ascii="宋体" w:hAnsi="宋体"/>
      <w:kern w:val="0"/>
      <w:sz w:val="24"/>
    </w:rPr>
  </w:style>
  <w:style w:type="character" w:customStyle="1" w:styleId="43">
    <w:name w:val="HTML 预设格式 字符"/>
    <w:link w:val="20"/>
    <w:qFormat/>
    <w:uiPriority w:val="0"/>
    <w:rPr>
      <w:rFonts w:ascii="宋体" w:hAnsi="宋体" w:cs="宋体"/>
      <w:sz w:val="24"/>
      <w:szCs w:val="24"/>
    </w:rPr>
  </w:style>
  <w:style w:type="character" w:customStyle="1" w:styleId="44">
    <w:name w:val="6表头 Char Char"/>
    <w:link w:val="45"/>
    <w:qFormat/>
    <w:uiPriority w:val="0"/>
    <w:rPr>
      <w:rFonts w:eastAsia="黑体" w:cs="Calibri"/>
      <w:szCs w:val="21"/>
    </w:rPr>
  </w:style>
  <w:style w:type="paragraph" w:customStyle="1" w:styleId="45">
    <w:name w:val="6表头"/>
    <w:basedOn w:val="1"/>
    <w:link w:val="44"/>
    <w:qFormat/>
    <w:uiPriority w:val="0"/>
    <w:pPr>
      <w:widowControl/>
      <w:spacing w:beforeLines="50"/>
      <w:jc w:val="center"/>
    </w:pPr>
    <w:rPr>
      <w:rFonts w:ascii="Calibri" w:hAnsi="Calibri" w:eastAsia="黑体"/>
      <w:kern w:val="0"/>
      <w:sz w:val="20"/>
      <w:szCs w:val="21"/>
    </w:rPr>
  </w:style>
  <w:style w:type="character" w:customStyle="1" w:styleId="46">
    <w:name w:val="HTML 预设格式 Char1"/>
    <w:semiHidden/>
    <w:qFormat/>
    <w:uiPriority w:val="99"/>
    <w:rPr>
      <w:rFonts w:ascii="Courier New" w:hAnsi="Courier New" w:cs="Courier New"/>
      <w:kern w:val="2"/>
    </w:rPr>
  </w:style>
  <w:style w:type="character" w:customStyle="1" w:styleId="47">
    <w:name w:val="标题 1 字符"/>
    <w:link w:val="3"/>
    <w:qFormat/>
    <w:uiPriority w:val="0"/>
    <w:rPr>
      <w:rFonts w:ascii="宋体" w:hAnsi="宋体"/>
      <w:b/>
      <w:bCs/>
      <w:kern w:val="44"/>
      <w:sz w:val="32"/>
      <w:szCs w:val="44"/>
    </w:rPr>
  </w:style>
  <w:style w:type="character" w:customStyle="1" w:styleId="48">
    <w:name w:val="标题 2 字符"/>
    <w:link w:val="4"/>
    <w:qFormat/>
    <w:uiPriority w:val="0"/>
    <w:rPr>
      <w:rFonts w:ascii="Arial" w:hAnsi="Arial" w:eastAsia="黑体"/>
      <w:b/>
      <w:bCs/>
      <w:kern w:val="2"/>
      <w:sz w:val="32"/>
      <w:szCs w:val="32"/>
    </w:rPr>
  </w:style>
  <w:style w:type="character" w:customStyle="1" w:styleId="49">
    <w:name w:val="标题 4 字符"/>
    <w:link w:val="6"/>
    <w:semiHidden/>
    <w:qFormat/>
    <w:uiPriority w:val="9"/>
    <w:rPr>
      <w:b/>
      <w:bCs/>
      <w:kern w:val="2"/>
      <w:sz w:val="28"/>
      <w:szCs w:val="28"/>
    </w:rPr>
  </w:style>
  <w:style w:type="character" w:customStyle="1" w:styleId="50">
    <w:name w:val="888-表头 Char"/>
    <w:link w:val="51"/>
    <w:qFormat/>
    <w:uiPriority w:val="0"/>
    <w:rPr>
      <w:b/>
      <w:sz w:val="24"/>
      <w:szCs w:val="21"/>
      <w:lang w:bidi="en-US"/>
    </w:rPr>
  </w:style>
  <w:style w:type="paragraph" w:customStyle="1" w:styleId="51">
    <w:name w:val="888-表头"/>
    <w:basedOn w:val="1"/>
    <w:link w:val="50"/>
    <w:qFormat/>
    <w:uiPriority w:val="0"/>
    <w:pPr>
      <w:widowControl/>
      <w:spacing w:beforeLines="50"/>
      <w:ind w:firstLine="200" w:firstLineChars="200"/>
      <w:jc w:val="center"/>
    </w:pPr>
    <w:rPr>
      <w:rFonts w:ascii="Calibri" w:hAnsi="Calibri"/>
      <w:b/>
      <w:kern w:val="0"/>
      <w:sz w:val="24"/>
      <w:szCs w:val="21"/>
      <w:lang w:bidi="en-US"/>
    </w:rPr>
  </w:style>
  <w:style w:type="character" w:customStyle="1" w:styleId="52">
    <w:name w:val="批注主题 字符"/>
    <w:link w:val="23"/>
    <w:qFormat/>
    <w:uiPriority w:val="0"/>
    <w:rPr>
      <w:b/>
      <w:bCs/>
      <w:szCs w:val="24"/>
    </w:rPr>
  </w:style>
  <w:style w:type="character" w:customStyle="1" w:styleId="53">
    <w:name w:val="批注文字 字符"/>
    <w:link w:val="9"/>
    <w:qFormat/>
    <w:uiPriority w:val="0"/>
    <w:rPr>
      <w:rFonts w:ascii="Times New Roman" w:hAnsi="Times New Roman"/>
      <w:kern w:val="2"/>
      <w:sz w:val="21"/>
      <w:szCs w:val="24"/>
    </w:rPr>
  </w:style>
  <w:style w:type="character" w:customStyle="1" w:styleId="54">
    <w:name w:val="正文文本缩进 Char1"/>
    <w:semiHidden/>
    <w:qFormat/>
    <w:uiPriority w:val="99"/>
    <w:rPr>
      <w:rFonts w:ascii="Times New Roman" w:hAnsi="Times New Roman"/>
      <w:kern w:val="2"/>
      <w:sz w:val="21"/>
      <w:szCs w:val="24"/>
    </w:rPr>
  </w:style>
  <w:style w:type="character" w:customStyle="1" w:styleId="55">
    <w:name w:val="批注文字 Char"/>
    <w:qFormat/>
    <w:uiPriority w:val="0"/>
    <w:rPr>
      <w:kern w:val="2"/>
      <w:sz w:val="21"/>
      <w:szCs w:val="24"/>
    </w:rPr>
  </w:style>
  <w:style w:type="character" w:customStyle="1" w:styleId="56">
    <w:name w:val="正文文本 (2) + Times New Roman"/>
    <w:qFormat/>
    <w:uiPriority w:val="0"/>
    <w:rPr>
      <w:rFonts w:ascii="Times New Roman" w:hAnsi="Times New Roman" w:cs="Times New Roman"/>
      <w:b/>
      <w:bCs/>
      <w:sz w:val="16"/>
      <w:szCs w:val="16"/>
      <w:lang w:bidi="ar-SA"/>
    </w:rPr>
  </w:style>
  <w:style w:type="character" w:customStyle="1" w:styleId="57">
    <w:name w:val="apple-style-span"/>
    <w:basedOn w:val="27"/>
    <w:qFormat/>
    <w:uiPriority w:val="0"/>
  </w:style>
  <w:style w:type="character" w:customStyle="1" w:styleId="58">
    <w:name w:val="日期 字符"/>
    <w:link w:val="13"/>
    <w:qFormat/>
    <w:uiPriority w:val="0"/>
    <w:rPr>
      <w:rFonts w:ascii="Times New Roman" w:hAnsi="Times New Roman"/>
      <w:kern w:val="2"/>
      <w:sz w:val="32"/>
    </w:rPr>
  </w:style>
  <w:style w:type="character" w:customStyle="1" w:styleId="59">
    <w:name w:val="纯文本 Char1"/>
    <w:qFormat/>
    <w:uiPriority w:val="0"/>
    <w:rPr>
      <w:rFonts w:ascii="宋体" w:hAnsi="Courier New" w:cs="Courier New"/>
      <w:kern w:val="2"/>
      <w:sz w:val="21"/>
      <w:szCs w:val="21"/>
    </w:rPr>
  </w:style>
  <w:style w:type="character" w:customStyle="1" w:styleId="60">
    <w:name w:val="Font Style92"/>
    <w:qFormat/>
    <w:uiPriority w:val="0"/>
    <w:rPr>
      <w:rFonts w:ascii="宋体" w:hAnsi="Times New Roman" w:eastAsia="宋体"/>
      <w:sz w:val="32"/>
    </w:rPr>
  </w:style>
  <w:style w:type="character" w:customStyle="1" w:styleId="61">
    <w:name w:val="页码1"/>
    <w:basedOn w:val="27"/>
    <w:qFormat/>
    <w:uiPriority w:val="0"/>
  </w:style>
  <w:style w:type="character" w:customStyle="1" w:styleId="62">
    <w:name w:val="正文文本缩进 字符"/>
    <w:link w:val="11"/>
    <w:qFormat/>
    <w:uiPriority w:val="0"/>
    <w:rPr>
      <w:rFonts w:eastAsia="华文楷体"/>
      <w:sz w:val="28"/>
      <w:szCs w:val="24"/>
    </w:rPr>
  </w:style>
  <w:style w:type="character" w:customStyle="1" w:styleId="63">
    <w:name w:val="内苡 Char"/>
    <w:link w:val="64"/>
    <w:qFormat/>
    <w:uiPriority w:val="0"/>
    <w:rPr>
      <w:rFonts w:ascii="宋体" w:hAnsi="宋体"/>
      <w:kern w:val="2"/>
      <w:sz w:val="28"/>
      <w:szCs w:val="28"/>
    </w:rPr>
  </w:style>
  <w:style w:type="paragraph" w:customStyle="1" w:styleId="64">
    <w:name w:val="内苡"/>
    <w:basedOn w:val="1"/>
    <w:link w:val="63"/>
    <w:qFormat/>
    <w:uiPriority w:val="0"/>
    <w:pPr>
      <w:ind w:firstLine="560" w:firstLineChars="200"/>
    </w:pPr>
    <w:rPr>
      <w:rFonts w:ascii="宋体" w:hAnsi="宋体"/>
      <w:sz w:val="28"/>
      <w:szCs w:val="28"/>
    </w:rPr>
  </w:style>
  <w:style w:type="character" w:customStyle="1" w:styleId="65">
    <w:name w:val="批注主题 Char1"/>
    <w:semiHidden/>
    <w:qFormat/>
    <w:uiPriority w:val="99"/>
    <w:rPr>
      <w:rFonts w:ascii="Times New Roman" w:hAnsi="Times New Roman"/>
      <w:b/>
      <w:bCs/>
      <w:kern w:val="2"/>
      <w:sz w:val="21"/>
      <w:szCs w:val="24"/>
    </w:rPr>
  </w:style>
  <w:style w:type="character" w:customStyle="1" w:styleId="66">
    <w:name w:val="页眉 字符"/>
    <w:link w:val="16"/>
    <w:qFormat/>
    <w:uiPriority w:val="0"/>
    <w:rPr>
      <w:sz w:val="18"/>
      <w:szCs w:val="18"/>
    </w:rPr>
  </w:style>
  <w:style w:type="character" w:customStyle="1" w:styleId="67">
    <w:name w:val="文档结构图 字符"/>
    <w:link w:val="8"/>
    <w:qFormat/>
    <w:uiPriority w:val="0"/>
    <w:rPr>
      <w:rFonts w:ascii="宋体" w:hAnsi="Times New Roman"/>
      <w:kern w:val="2"/>
      <w:sz w:val="18"/>
      <w:szCs w:val="18"/>
    </w:rPr>
  </w:style>
  <w:style w:type="character" w:customStyle="1" w:styleId="68">
    <w:name w:val="正文文本 (2)_"/>
    <w:link w:val="69"/>
    <w:qFormat/>
    <w:uiPriority w:val="0"/>
    <w:rPr>
      <w:rFonts w:ascii="宋体" w:hAnsi="宋体"/>
      <w:b/>
      <w:bCs/>
      <w:sz w:val="17"/>
      <w:szCs w:val="17"/>
      <w:shd w:val="clear" w:color="auto" w:fill="FFFFFF"/>
    </w:rPr>
  </w:style>
  <w:style w:type="paragraph" w:customStyle="1" w:styleId="69">
    <w:name w:val="正文文本 (2)"/>
    <w:basedOn w:val="1"/>
    <w:link w:val="68"/>
    <w:qFormat/>
    <w:uiPriority w:val="0"/>
    <w:pPr>
      <w:shd w:val="clear" w:color="auto" w:fill="FFFFFF"/>
      <w:spacing w:after="120" w:line="240" w:lineRule="atLeast"/>
      <w:jc w:val="left"/>
    </w:pPr>
    <w:rPr>
      <w:rFonts w:ascii="宋体" w:hAnsi="宋体"/>
      <w:b/>
      <w:bCs/>
      <w:kern w:val="0"/>
      <w:sz w:val="17"/>
      <w:szCs w:val="17"/>
    </w:rPr>
  </w:style>
  <w:style w:type="character" w:customStyle="1" w:styleId="70">
    <w:name w:val="正文文本缩进 3 字符1"/>
    <w:link w:val="19"/>
    <w:qFormat/>
    <w:uiPriority w:val="0"/>
    <w:rPr>
      <w:rFonts w:ascii="宋体" w:hAnsi="宋体"/>
      <w:kern w:val="2"/>
      <w:sz w:val="24"/>
      <w:szCs w:val="24"/>
    </w:rPr>
  </w:style>
  <w:style w:type="character" w:customStyle="1" w:styleId="71">
    <w:name w:val="基准页脚样式 Char Char"/>
    <w:link w:val="72"/>
    <w:qFormat/>
    <w:uiPriority w:val="0"/>
    <w:rPr>
      <w:b/>
      <w:color w:val="000000"/>
      <w:spacing w:val="-14"/>
      <w:szCs w:val="21"/>
    </w:rPr>
  </w:style>
  <w:style w:type="paragraph" w:customStyle="1" w:styleId="72">
    <w:name w:val="基准页脚样式"/>
    <w:basedOn w:val="10"/>
    <w:link w:val="71"/>
    <w:qFormat/>
    <w:uiPriority w:val="0"/>
    <w:pPr>
      <w:spacing w:after="0" w:line="240" w:lineRule="exact"/>
      <w:jc w:val="left"/>
    </w:pPr>
    <w:rPr>
      <w:rFonts w:ascii="Calibri" w:hAnsi="Calibri"/>
      <w:b/>
      <w:color w:val="000000"/>
      <w:spacing w:val="-14"/>
      <w:kern w:val="0"/>
      <w:sz w:val="20"/>
      <w:szCs w:val="21"/>
    </w:rPr>
  </w:style>
  <w:style w:type="character" w:customStyle="1" w:styleId="73">
    <w:name w:val="正文文本 字符"/>
    <w:link w:val="10"/>
    <w:qFormat/>
    <w:uiPriority w:val="0"/>
    <w:rPr>
      <w:rFonts w:ascii="Times New Roman" w:hAnsi="Times New Roman"/>
      <w:kern w:val="2"/>
      <w:sz w:val="21"/>
      <w:szCs w:val="24"/>
    </w:rPr>
  </w:style>
  <w:style w:type="character" w:customStyle="1" w:styleId="74">
    <w:name w:val="表标题 Char"/>
    <w:link w:val="75"/>
    <w:qFormat/>
    <w:uiPriority w:val="0"/>
    <w:rPr>
      <w:rFonts w:ascii="黑体" w:hAnsi="黑体" w:eastAsia="黑体"/>
      <w:w w:val="105"/>
      <w:sz w:val="24"/>
      <w:szCs w:val="24"/>
    </w:rPr>
  </w:style>
  <w:style w:type="paragraph" w:customStyle="1" w:styleId="75">
    <w:name w:val="表标题"/>
    <w:basedOn w:val="1"/>
    <w:link w:val="74"/>
    <w:qFormat/>
    <w:uiPriority w:val="0"/>
    <w:pPr>
      <w:spacing w:beforeLines="50" w:after="50" w:line="300" w:lineRule="atLeast"/>
      <w:ind w:firstLine="503" w:firstLineChars="200"/>
      <w:jc w:val="left"/>
    </w:pPr>
    <w:rPr>
      <w:rFonts w:ascii="黑体" w:hAnsi="黑体" w:eastAsia="黑体"/>
      <w:w w:val="105"/>
      <w:kern w:val="0"/>
      <w:sz w:val="24"/>
    </w:rPr>
  </w:style>
  <w:style w:type="character" w:customStyle="1" w:styleId="76">
    <w:name w:val="apple-converted-space"/>
    <w:qFormat/>
    <w:uiPriority w:val="0"/>
  </w:style>
  <w:style w:type="character" w:customStyle="1" w:styleId="77">
    <w:name w:val="正文001 Char"/>
    <w:qFormat/>
    <w:uiPriority w:val="0"/>
    <w:rPr>
      <w:rFonts w:eastAsia="宋体"/>
      <w:kern w:val="2"/>
      <w:sz w:val="24"/>
      <w:lang w:val="en-US" w:eastAsia="zh-CN" w:bidi="ar-SA"/>
    </w:rPr>
  </w:style>
  <w:style w:type="character" w:customStyle="1" w:styleId="78">
    <w:name w:val="正文缩进 字符"/>
    <w:link w:val="7"/>
    <w:qFormat/>
    <w:uiPriority w:val="0"/>
    <w:rPr>
      <w:rFonts w:ascii="仿宋_GB2312" w:hAnsi="Arial Black" w:eastAsia="仿宋_GB2312"/>
      <w:sz w:val="28"/>
    </w:rPr>
  </w:style>
  <w:style w:type="character" w:customStyle="1" w:styleId="79">
    <w:name w:val="正文文本_"/>
    <w:qFormat/>
    <w:uiPriority w:val="0"/>
    <w:rPr>
      <w:rFonts w:ascii="宋体" w:hAnsi="宋体" w:cs="宋体"/>
      <w:sz w:val="17"/>
      <w:szCs w:val="17"/>
      <w:u w:val="none"/>
    </w:rPr>
  </w:style>
  <w:style w:type="character" w:customStyle="1" w:styleId="80">
    <w:name w:val="公正文 Char Char"/>
    <w:link w:val="81"/>
    <w:qFormat/>
    <w:uiPriority w:val="0"/>
    <w:rPr>
      <w:rFonts w:ascii="宋体" w:hAnsi="宋体" w:eastAsia="仿宋_GB2312"/>
      <w:sz w:val="28"/>
      <w:szCs w:val="21"/>
    </w:rPr>
  </w:style>
  <w:style w:type="paragraph" w:customStyle="1" w:styleId="81">
    <w:name w:val="公正文"/>
    <w:basedOn w:val="1"/>
    <w:link w:val="80"/>
    <w:qFormat/>
    <w:uiPriority w:val="0"/>
    <w:pPr>
      <w:adjustRightInd w:val="0"/>
      <w:snapToGrid w:val="0"/>
      <w:spacing w:line="355" w:lineRule="auto"/>
      <w:ind w:firstLine="200" w:firstLineChars="200"/>
    </w:pPr>
    <w:rPr>
      <w:rFonts w:ascii="宋体" w:hAnsi="宋体" w:eastAsia="仿宋_GB2312"/>
      <w:kern w:val="0"/>
      <w:sz w:val="28"/>
      <w:szCs w:val="21"/>
    </w:rPr>
  </w:style>
  <w:style w:type="character" w:customStyle="1" w:styleId="82">
    <w:name w:val="样式 宋体 黑色"/>
    <w:qFormat/>
    <w:uiPriority w:val="0"/>
    <w:rPr>
      <w:rFonts w:ascii="宋体" w:hAnsi="宋体" w:eastAsia="宋体" w:cs="Arial"/>
      <w:color w:val="000000"/>
      <w:sz w:val="24"/>
      <w:szCs w:val="21"/>
      <w:lang w:val="en-US" w:eastAsia="zh-CN" w:bidi="ar-SA"/>
    </w:rPr>
  </w:style>
  <w:style w:type="character" w:customStyle="1" w:styleId="83">
    <w:name w:val="四号正文 Char Char"/>
    <w:link w:val="84"/>
    <w:qFormat/>
    <w:uiPriority w:val="0"/>
    <w:rPr>
      <w:rFonts w:ascii="宋体" w:hAnsi="Times New Roman"/>
      <w:kern w:val="2"/>
      <w:sz w:val="28"/>
      <w:szCs w:val="24"/>
    </w:rPr>
  </w:style>
  <w:style w:type="paragraph" w:customStyle="1" w:styleId="84">
    <w:name w:val="四号正文"/>
    <w:basedOn w:val="1"/>
    <w:link w:val="83"/>
    <w:qFormat/>
    <w:uiPriority w:val="0"/>
    <w:pPr>
      <w:spacing w:line="360" w:lineRule="auto"/>
      <w:ind w:firstLine="200" w:firstLineChars="200"/>
    </w:pPr>
    <w:rPr>
      <w:rFonts w:ascii="宋体"/>
      <w:sz w:val="28"/>
    </w:rPr>
  </w:style>
  <w:style w:type="character" w:customStyle="1" w:styleId="85">
    <w:name w:val="DK 正文 Char"/>
    <w:link w:val="86"/>
    <w:qFormat/>
    <w:locked/>
    <w:uiPriority w:val="0"/>
    <w:rPr>
      <w:rFonts w:ascii="Times New Roman" w:hAnsi="宋体"/>
      <w:kern w:val="10"/>
      <w:sz w:val="28"/>
    </w:rPr>
  </w:style>
  <w:style w:type="paragraph" w:customStyle="1" w:styleId="86">
    <w:name w:val="DK 正文"/>
    <w:basedOn w:val="7"/>
    <w:link w:val="85"/>
    <w:qFormat/>
    <w:uiPriority w:val="0"/>
    <w:pPr>
      <w:adjustRightInd w:val="0"/>
      <w:snapToGrid w:val="0"/>
      <w:ind w:firstLine="200" w:firstLineChars="200"/>
    </w:pPr>
    <w:rPr>
      <w:rFonts w:ascii="Times New Roman" w:hAnsi="宋体" w:eastAsia="宋体"/>
      <w:kern w:val="10"/>
    </w:rPr>
  </w:style>
  <w:style w:type="character" w:customStyle="1" w:styleId="87">
    <w:name w:val="表 Char"/>
    <w:link w:val="88"/>
    <w:qFormat/>
    <w:uiPriority w:val="99"/>
    <w:rPr>
      <w:sz w:val="24"/>
    </w:rPr>
  </w:style>
  <w:style w:type="paragraph" w:customStyle="1" w:styleId="88">
    <w:name w:val="表"/>
    <w:basedOn w:val="22"/>
    <w:link w:val="87"/>
    <w:qFormat/>
    <w:uiPriority w:val="99"/>
    <w:pPr>
      <w:spacing w:before="0" w:after="0" w:line="440" w:lineRule="exact"/>
      <w:ind w:firstLine="200" w:firstLineChars="200"/>
      <w:jc w:val="both"/>
    </w:pPr>
    <w:rPr>
      <w:rFonts w:ascii="Calibri" w:hAnsi="Calibri"/>
      <w:b w:val="0"/>
      <w:bCs w:val="0"/>
      <w:kern w:val="0"/>
      <w:sz w:val="24"/>
      <w:szCs w:val="20"/>
    </w:rPr>
  </w:style>
  <w:style w:type="character" w:customStyle="1" w:styleId="89">
    <w:name w:val="标题 字符"/>
    <w:link w:val="22"/>
    <w:qFormat/>
    <w:uiPriority w:val="10"/>
    <w:rPr>
      <w:rFonts w:ascii="Cambria" w:hAnsi="Cambria" w:cs="Times New Roman"/>
      <w:b/>
      <w:bCs/>
      <w:kern w:val="2"/>
      <w:sz w:val="32"/>
      <w:szCs w:val="32"/>
    </w:rPr>
  </w:style>
  <w:style w:type="character" w:customStyle="1" w:styleId="90">
    <w:name w:val="正文-ls Char"/>
    <w:link w:val="91"/>
    <w:qFormat/>
    <w:uiPriority w:val="0"/>
    <w:rPr>
      <w:rFonts w:hAnsi="宋体" w:cs="宋体"/>
      <w:kern w:val="2"/>
      <w:sz w:val="24"/>
    </w:rPr>
  </w:style>
  <w:style w:type="paragraph" w:customStyle="1" w:styleId="91">
    <w:name w:val="正文-ls"/>
    <w:basedOn w:val="1"/>
    <w:link w:val="90"/>
    <w:qFormat/>
    <w:uiPriority w:val="0"/>
    <w:pPr>
      <w:spacing w:line="360" w:lineRule="auto"/>
      <w:ind w:firstLine="200" w:firstLineChars="200"/>
    </w:pPr>
    <w:rPr>
      <w:rFonts w:ascii="Calibri" w:hAnsi="宋体"/>
      <w:sz w:val="24"/>
      <w:szCs w:val="20"/>
    </w:rPr>
  </w:style>
  <w:style w:type="character" w:customStyle="1" w:styleId="92">
    <w:name w:val="正文文本缩进 3 字符"/>
    <w:qFormat/>
    <w:uiPriority w:val="0"/>
    <w:rPr>
      <w:rFonts w:ascii="宋体"/>
      <w:kern w:val="2"/>
      <w:sz w:val="28"/>
    </w:rPr>
  </w:style>
  <w:style w:type="character" w:customStyle="1" w:styleId="93">
    <w:name w:val="tubiao Char"/>
    <w:link w:val="94"/>
    <w:qFormat/>
    <w:uiPriority w:val="0"/>
    <w:rPr>
      <w:rFonts w:ascii="Times New Roman" w:hAnsi="Times New Roman" w:eastAsia="黑体"/>
      <w:kern w:val="2"/>
      <w:sz w:val="24"/>
      <w:szCs w:val="21"/>
    </w:rPr>
  </w:style>
  <w:style w:type="paragraph" w:customStyle="1" w:styleId="94">
    <w:name w:val="tubiao"/>
    <w:basedOn w:val="1"/>
    <w:link w:val="93"/>
    <w:qFormat/>
    <w:uiPriority w:val="0"/>
    <w:pPr>
      <w:spacing w:line="360" w:lineRule="auto"/>
      <w:jc w:val="center"/>
      <w:outlineLvl w:val="4"/>
    </w:pPr>
    <w:rPr>
      <w:rFonts w:eastAsia="黑体"/>
      <w:sz w:val="24"/>
      <w:szCs w:val="21"/>
    </w:rPr>
  </w:style>
  <w:style w:type="character" w:customStyle="1" w:styleId="95">
    <w:name w:val="tubiaoneirong Char"/>
    <w:link w:val="96"/>
    <w:qFormat/>
    <w:uiPriority w:val="0"/>
    <w:rPr>
      <w:rFonts w:ascii="Times New Roman" w:hAnsi="Times New Roman"/>
      <w:color w:val="000000"/>
      <w:sz w:val="21"/>
      <w:szCs w:val="22"/>
    </w:rPr>
  </w:style>
  <w:style w:type="paragraph" w:customStyle="1" w:styleId="96">
    <w:name w:val="tubiaoneirong"/>
    <w:basedOn w:val="1"/>
    <w:link w:val="95"/>
    <w:qFormat/>
    <w:uiPriority w:val="0"/>
    <w:pPr>
      <w:widowControl/>
      <w:jc w:val="center"/>
    </w:pPr>
    <w:rPr>
      <w:color w:val="000000"/>
      <w:kern w:val="0"/>
      <w:szCs w:val="22"/>
    </w:rPr>
  </w:style>
  <w:style w:type="paragraph" w:styleId="97">
    <w:name w:val="List Paragraph"/>
    <w:basedOn w:val="1"/>
    <w:qFormat/>
    <w:uiPriority w:val="34"/>
    <w:pPr>
      <w:ind w:firstLine="420" w:firstLineChars="200"/>
    </w:pPr>
  </w:style>
  <w:style w:type="paragraph" w:customStyle="1" w:styleId="98">
    <w:name w:val="基准标题"/>
    <w:basedOn w:val="10"/>
    <w:next w:val="10"/>
    <w:qFormat/>
    <w:uiPriority w:val="0"/>
    <w:pPr>
      <w:spacing w:after="0" w:line="240" w:lineRule="exact"/>
      <w:ind w:right="-120" w:rightChars="-50"/>
      <w:jc w:val="center"/>
    </w:pPr>
    <w:rPr>
      <w:b/>
      <w:spacing w:val="-20"/>
      <w:kern w:val="0"/>
      <w:szCs w:val="21"/>
    </w:rPr>
  </w:style>
  <w:style w:type="paragraph" w:customStyle="1" w:styleId="99">
    <w:name w:val="Char Char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00">
    <w:name w:val="CHP 报告正文"/>
    <w:basedOn w:val="1"/>
    <w:qFormat/>
    <w:uiPriority w:val="0"/>
    <w:pPr>
      <w:adjustRightInd w:val="0"/>
      <w:snapToGrid w:val="0"/>
      <w:spacing w:line="500" w:lineRule="exact"/>
      <w:ind w:firstLine="480" w:firstLineChars="200"/>
    </w:pPr>
    <w:rPr>
      <w:rFonts w:ascii="宋体" w:hAnsi="宋体" w:cs="宋体"/>
      <w:kern w:val="0"/>
      <w:sz w:val="24"/>
      <w:szCs w:val="21"/>
    </w:rPr>
  </w:style>
  <w:style w:type="paragraph" w:customStyle="1" w:styleId="101">
    <w:name w:val="00正文"/>
    <w:basedOn w:val="1"/>
    <w:qFormat/>
    <w:uiPriority w:val="0"/>
    <w:pPr>
      <w:spacing w:line="360" w:lineRule="auto"/>
      <w:ind w:firstLine="200" w:firstLineChars="200"/>
    </w:pPr>
    <w:rPr>
      <w:rFonts w:ascii="Calibri" w:hAnsi="Calibri"/>
      <w:color w:val="0000FF"/>
      <w:sz w:val="24"/>
    </w:rPr>
  </w:style>
  <w:style w:type="paragraph" w:customStyle="1" w:styleId="102">
    <w:name w:val="样式 小四 行距: 1.5 倍行距"/>
    <w:basedOn w:val="1"/>
    <w:qFormat/>
    <w:uiPriority w:val="0"/>
    <w:pPr>
      <w:spacing w:line="360" w:lineRule="auto"/>
      <w:ind w:firstLine="480" w:firstLineChars="200"/>
    </w:pPr>
    <w:rPr>
      <w:rFonts w:cs="宋体"/>
      <w:sz w:val="24"/>
    </w:rPr>
  </w:style>
  <w:style w:type="paragraph" w:customStyle="1" w:styleId="103">
    <w:name w:val="表格"/>
    <w:basedOn w:val="1"/>
    <w:qFormat/>
    <w:uiPriority w:val="0"/>
    <w:pPr>
      <w:jc w:val="center"/>
    </w:pPr>
    <w:rPr>
      <w:sz w:val="24"/>
    </w:rPr>
  </w:style>
  <w:style w:type="paragraph" w:customStyle="1" w:styleId="104">
    <w:name w:val="Char Char Char"/>
    <w:basedOn w:val="1"/>
    <w:qFormat/>
    <w:uiPriority w:val="0"/>
    <w:pPr>
      <w:widowControl/>
      <w:spacing w:after="160" w:line="240" w:lineRule="exact"/>
      <w:jc w:val="left"/>
    </w:pPr>
  </w:style>
  <w:style w:type="paragraph" w:customStyle="1" w:styleId="105">
    <w:name w:val="样式1"/>
    <w:basedOn w:val="1"/>
    <w:qFormat/>
    <w:uiPriority w:val="0"/>
    <w:pPr>
      <w:spacing w:line="360" w:lineRule="auto"/>
      <w:ind w:firstLine="510"/>
    </w:pPr>
    <w:rPr>
      <w:sz w:val="24"/>
      <w:szCs w:val="20"/>
    </w:rPr>
  </w:style>
  <w:style w:type="paragraph" w:customStyle="1" w:styleId="106">
    <w:name w:val="标题4"/>
    <w:basedOn w:val="6"/>
    <w:qFormat/>
    <w:uiPriority w:val="0"/>
    <w:pPr>
      <w:spacing w:before="0" w:after="0" w:line="500" w:lineRule="exact"/>
    </w:pPr>
    <w:rPr>
      <w:rFonts w:ascii="Times New Roman" w:hAnsi="Times New Roman"/>
      <w:b w:val="0"/>
      <w:sz w:val="24"/>
    </w:rPr>
  </w:style>
  <w:style w:type="paragraph" w:customStyle="1" w:styleId="107">
    <w:name w:val="666666-正文"/>
    <w:basedOn w:val="1"/>
    <w:qFormat/>
    <w:uiPriority w:val="0"/>
    <w:pPr>
      <w:spacing w:line="440" w:lineRule="exact"/>
      <w:ind w:firstLine="200" w:firstLineChars="200"/>
    </w:pPr>
    <w:rPr>
      <w:rFonts w:ascii="Calibri" w:hAnsi="Calibri"/>
      <w:sz w:val="24"/>
      <w:szCs w:val="22"/>
      <w:lang w:val="zh-CN"/>
    </w:rPr>
  </w:style>
  <w:style w:type="paragraph" w:customStyle="1" w:styleId="108">
    <w:name w:val="样式 正文文本 + 四号 段后: 0 磅 行距: 固定值 24 磅"/>
    <w:basedOn w:val="10"/>
    <w:qFormat/>
    <w:uiPriority w:val="0"/>
    <w:pPr>
      <w:spacing w:after="0" w:line="480" w:lineRule="exact"/>
      <w:ind w:firstLine="630" w:firstLineChars="225"/>
    </w:pPr>
    <w:rPr>
      <w:sz w:val="28"/>
      <w:szCs w:val="20"/>
    </w:rPr>
  </w:style>
  <w:style w:type="paragraph" w:customStyle="1" w:styleId="109">
    <w:name w:val="默认段落字体 Para Char"/>
    <w:basedOn w:val="1"/>
    <w:qFormat/>
    <w:uiPriority w:val="0"/>
    <w:rPr>
      <w:sz w:val="24"/>
    </w:rPr>
  </w:style>
  <w:style w:type="paragraph" w:customStyle="1" w:styleId="110">
    <w:name w:val="表格式"/>
    <w:basedOn w:val="18"/>
    <w:qFormat/>
    <w:uiPriority w:val="0"/>
    <w:pPr>
      <w:spacing w:beforeLines="50" w:afterLines="50" w:line="200" w:lineRule="exact"/>
      <w:ind w:left="0" w:firstLine="0" w:firstLineChars="0"/>
      <w:jc w:val="center"/>
    </w:pPr>
    <w:rPr>
      <w:szCs w:val="20"/>
    </w:rPr>
  </w:style>
  <w:style w:type="paragraph" w:customStyle="1" w:styleId="111">
    <w:name w:val="表格001"/>
    <w:basedOn w:val="1"/>
    <w:qFormat/>
    <w:uiPriority w:val="0"/>
    <w:pPr>
      <w:jc w:val="center"/>
    </w:pPr>
    <w:rPr>
      <w:szCs w:val="20"/>
    </w:rPr>
  </w:style>
  <w:style w:type="paragraph" w:customStyle="1" w:styleId="112">
    <w:name w:val="KM标题3"/>
    <w:basedOn w:val="1"/>
    <w:qFormat/>
    <w:uiPriority w:val="0"/>
    <w:pPr>
      <w:adjustRightInd w:val="0"/>
      <w:spacing w:line="360" w:lineRule="auto"/>
      <w:outlineLvl w:val="2"/>
    </w:pPr>
    <w:rPr>
      <w:rFonts w:ascii="宋体" w:hAnsi="宋体"/>
      <w:b/>
      <w:sz w:val="28"/>
    </w:rPr>
  </w:style>
  <w:style w:type="paragraph" w:customStyle="1" w:styleId="113">
    <w:name w:val="WPSOffice手动目录 1"/>
    <w:qFormat/>
    <w:uiPriority w:val="0"/>
    <w:rPr>
      <w:rFonts w:ascii="Calibri" w:hAnsi="Calibri" w:eastAsia="宋体" w:cs="Times New Roman"/>
      <w:lang w:val="en-US" w:eastAsia="zh-CN" w:bidi="ar-SA"/>
    </w:rPr>
  </w:style>
  <w:style w:type="paragraph" w:customStyle="1" w:styleId="114">
    <w:name w:val="g文"/>
    <w:basedOn w:val="1"/>
    <w:qFormat/>
    <w:uiPriority w:val="0"/>
    <w:pPr>
      <w:spacing w:line="427" w:lineRule="exact"/>
      <w:ind w:firstLine="480" w:firstLineChars="200"/>
    </w:pPr>
    <w:rPr>
      <w:bCs/>
      <w:color w:val="0000FF"/>
      <w:kern w:val="0"/>
      <w:sz w:val="24"/>
      <w:szCs w:val="20"/>
      <w:lang w:val="zh-CN"/>
    </w:rPr>
  </w:style>
  <w:style w:type="paragraph" w:customStyle="1" w:styleId="115">
    <w:name w:val="正文001"/>
    <w:basedOn w:val="1"/>
    <w:qFormat/>
    <w:uiPriority w:val="0"/>
    <w:pPr>
      <w:spacing w:before="60" w:line="460" w:lineRule="exact"/>
      <w:ind w:firstLine="482"/>
    </w:pPr>
    <w:rPr>
      <w:sz w:val="24"/>
      <w:szCs w:val="20"/>
    </w:rPr>
  </w:style>
  <w:style w:type="paragraph" w:customStyle="1" w:styleId="116">
    <w:name w:val="0正文"/>
    <w:basedOn w:val="1"/>
    <w:qFormat/>
    <w:uiPriority w:val="0"/>
    <w:pPr>
      <w:spacing w:line="360" w:lineRule="auto"/>
      <w:ind w:firstLine="480" w:firstLineChars="200"/>
    </w:pPr>
    <w:rPr>
      <w:rFonts w:cs="Calibri"/>
      <w:sz w:val="24"/>
      <w:szCs w:val="22"/>
    </w:rPr>
  </w:style>
  <w:style w:type="paragraph" w:customStyle="1" w:styleId="117">
    <w:name w:val="5正文"/>
    <w:basedOn w:val="1"/>
    <w:next w:val="10"/>
    <w:qFormat/>
    <w:uiPriority w:val="0"/>
    <w:pPr>
      <w:spacing w:line="360" w:lineRule="auto"/>
      <w:ind w:firstLine="200" w:firstLineChars="200"/>
    </w:pPr>
    <w:rPr>
      <w:rFonts w:hint="eastAsia"/>
      <w:spacing w:val="-4"/>
      <w:sz w:val="24"/>
      <w:szCs w:val="20"/>
    </w:rPr>
  </w:style>
  <w:style w:type="paragraph" w:customStyle="1" w:styleId="118">
    <w:name w:val="列出段落1"/>
    <w:basedOn w:val="1"/>
    <w:qFormat/>
    <w:uiPriority w:val="34"/>
    <w:pPr>
      <w:ind w:firstLine="420" w:firstLineChars="200"/>
    </w:pPr>
  </w:style>
  <w:style w:type="paragraph" w:customStyle="1" w:styleId="119">
    <w:name w:val="表名"/>
    <w:basedOn w:val="1"/>
    <w:qFormat/>
    <w:uiPriority w:val="0"/>
    <w:pPr>
      <w:overflowPunct w:val="0"/>
      <w:spacing w:before="120"/>
      <w:jc w:val="center"/>
      <w:textAlignment w:val="baseline"/>
    </w:pPr>
    <w:rPr>
      <w:rFonts w:ascii="Arial" w:hAnsi="Arial" w:eastAsia="黑体"/>
      <w:szCs w:val="20"/>
    </w:rPr>
  </w:style>
  <w:style w:type="paragraph" w:customStyle="1" w:styleId="120">
    <w:name w:val="_Style 2"/>
    <w:basedOn w:val="1"/>
    <w:qFormat/>
    <w:uiPriority w:val="34"/>
    <w:pPr>
      <w:ind w:firstLine="420" w:firstLineChars="200"/>
    </w:pPr>
  </w:style>
  <w:style w:type="paragraph" w:customStyle="1" w:styleId="121">
    <w:name w:val="标题003"/>
    <w:basedOn w:val="1"/>
    <w:qFormat/>
    <w:uiPriority w:val="0"/>
    <w:pPr>
      <w:spacing w:before="120" w:line="440" w:lineRule="exact"/>
      <w:outlineLvl w:val="2"/>
    </w:pPr>
    <w:rPr>
      <w:b/>
      <w:sz w:val="27"/>
      <w:szCs w:val="20"/>
    </w:rPr>
  </w:style>
  <w:style w:type="paragraph" w:customStyle="1" w:styleId="122">
    <w:name w:val="报告书表格"/>
    <w:basedOn w:val="1"/>
    <w:qFormat/>
    <w:uiPriority w:val="0"/>
    <w:pPr>
      <w:adjustRightInd w:val="0"/>
      <w:snapToGrid w:val="0"/>
      <w:jc w:val="center"/>
      <w:textAlignment w:val="baseline"/>
    </w:pPr>
    <w:rPr>
      <w:kern w:val="0"/>
      <w:szCs w:val="20"/>
    </w:rPr>
  </w:style>
  <w:style w:type="paragraph" w:customStyle="1" w:styleId="123">
    <w:name w:val="标题004"/>
    <w:basedOn w:val="1"/>
    <w:uiPriority w:val="0"/>
    <w:pPr>
      <w:spacing w:before="60" w:line="420" w:lineRule="exact"/>
      <w:outlineLvl w:val="3"/>
    </w:pPr>
    <w:rPr>
      <w:b/>
      <w:sz w:val="24"/>
      <w:szCs w:val="20"/>
    </w:rPr>
  </w:style>
  <w:style w:type="paragraph" w:customStyle="1" w:styleId="124">
    <w:name w:val="表格文字2"/>
    <w:basedOn w:val="1"/>
    <w:qFormat/>
    <w:uiPriority w:val="0"/>
    <w:pPr>
      <w:adjustRightInd w:val="0"/>
      <w:spacing w:before="60"/>
      <w:jc w:val="center"/>
      <w:textAlignment w:val="baseline"/>
    </w:pPr>
    <w:rPr>
      <w:rFonts w:ascii="宋体"/>
      <w:kern w:val="0"/>
      <w:sz w:val="24"/>
      <w:szCs w:val="20"/>
    </w:rPr>
  </w:style>
  <w:style w:type="paragraph" w:customStyle="1" w:styleId="125">
    <w:name w:val="四级标题"/>
    <w:basedOn w:val="1"/>
    <w:qFormat/>
    <w:uiPriority w:val="0"/>
    <w:pPr>
      <w:autoSpaceDE w:val="0"/>
      <w:autoSpaceDN w:val="0"/>
      <w:adjustRightInd w:val="0"/>
      <w:snapToGrid w:val="0"/>
      <w:spacing w:line="360" w:lineRule="auto"/>
    </w:pPr>
    <w:rPr>
      <w:rFonts w:cs="黑体"/>
      <w:b/>
      <w:iCs/>
      <w:sz w:val="28"/>
      <w:szCs w:val="28"/>
      <w:lang w:val="zh-CN"/>
    </w:rPr>
  </w:style>
  <w:style w:type="paragraph" w:customStyle="1" w:styleId="126">
    <w:name w:val="c"/>
    <w:qFormat/>
    <w:uiPriority w:val="0"/>
    <w:pPr>
      <w:widowControl w:val="0"/>
      <w:autoSpaceDE w:val="0"/>
      <w:autoSpaceDN w:val="0"/>
      <w:adjustRightInd w:val="0"/>
      <w:jc w:val="both"/>
    </w:pPr>
    <w:rPr>
      <w:rFonts w:ascii="Arial" w:hAnsi="Arial" w:eastAsia="宋体" w:cs="Times New Roman"/>
      <w:sz w:val="24"/>
      <w:szCs w:val="24"/>
      <w:lang w:val="en-US" w:eastAsia="zh-CN" w:bidi="ar-SA"/>
    </w:rPr>
  </w:style>
  <w:style w:type="paragraph" w:customStyle="1" w:styleId="127">
    <w:name w:val="正文01"/>
    <w:basedOn w:val="1"/>
    <w:qFormat/>
    <w:uiPriority w:val="0"/>
    <w:pPr>
      <w:spacing w:before="60" w:line="460" w:lineRule="exact"/>
      <w:ind w:firstLine="539"/>
    </w:pPr>
    <w:rPr>
      <w:sz w:val="24"/>
      <w:szCs w:val="20"/>
    </w:rPr>
  </w:style>
  <w:style w:type="paragraph" w:customStyle="1" w:styleId="128">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29">
    <w:name w:val="3级标题"/>
    <w:basedOn w:val="5"/>
    <w:qFormat/>
    <w:uiPriority w:val="0"/>
    <w:pPr>
      <w:spacing w:beforeLines="50" w:afterLines="50" w:line="360" w:lineRule="auto"/>
    </w:pPr>
    <w:rPr>
      <w:rFonts w:eastAsia="黑体" w:cs="Calibri"/>
      <w:sz w:val="28"/>
    </w:rPr>
  </w:style>
  <w:style w:type="paragraph" w:customStyle="1" w:styleId="130">
    <w:name w:val="_Style 1"/>
    <w:basedOn w:val="1"/>
    <w:qFormat/>
    <w:uiPriority w:val="34"/>
    <w:pPr>
      <w:ind w:firstLine="420" w:firstLineChars="200"/>
    </w:pPr>
  </w:style>
  <w:style w:type="paragraph" w:customStyle="1" w:styleId="131">
    <w:name w:val="_Style 3"/>
    <w:basedOn w:val="1"/>
    <w:qFormat/>
    <w:uiPriority w:val="0"/>
    <w:pPr>
      <w:ind w:firstLine="420" w:firstLineChars="200"/>
    </w:pPr>
    <w:rPr>
      <w:rFonts w:ascii="Calibri" w:hAnsi="Calibri"/>
      <w:szCs w:val="22"/>
    </w:rPr>
  </w:style>
  <w:style w:type="paragraph" w:customStyle="1" w:styleId="1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3">
    <w:name w:val="Char Char1 Char Char"/>
    <w:basedOn w:val="1"/>
    <w:qFormat/>
    <w:uiPriority w:val="0"/>
    <w:pPr>
      <w:spacing w:line="360" w:lineRule="auto"/>
      <w:ind w:firstLine="200" w:firstLineChars="200"/>
    </w:pPr>
    <w:rPr>
      <w:rFonts w:ascii="宋体" w:hAnsi="宋体" w:cs="宋体"/>
      <w:kern w:val="28"/>
      <w:sz w:val="24"/>
      <w:szCs w:val="28"/>
    </w:rPr>
  </w:style>
  <w:style w:type="paragraph" w:customStyle="1" w:styleId="134">
    <w:name w:val="表文字"/>
    <w:basedOn w:val="1"/>
    <w:qFormat/>
    <w:uiPriority w:val="0"/>
    <w:pPr>
      <w:topLinePunct/>
      <w:adjustRightInd w:val="0"/>
      <w:spacing w:line="320" w:lineRule="exact"/>
      <w:textAlignment w:val="baseline"/>
    </w:pPr>
    <w:rPr>
      <w:szCs w:val="21"/>
    </w:rPr>
  </w:style>
  <w:style w:type="table" w:customStyle="1" w:styleId="135">
    <w:name w:val="网格型1"/>
    <w:basedOn w:val="25"/>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6">
    <w:name w:val="TOC 标题1"/>
    <w:basedOn w:val="3"/>
    <w:next w:val="1"/>
    <w:qFormat/>
    <w:uiPriority w:val="39"/>
    <w:pPr>
      <w:widowControl/>
      <w:adjustRightInd/>
      <w:spacing w:before="240" w:after="0" w:line="259" w:lineRule="auto"/>
      <w:jc w:val="left"/>
      <w:textAlignment w:val="auto"/>
      <w:outlineLvl w:val="9"/>
    </w:pPr>
    <w:rPr>
      <w:rFonts w:ascii="等线 Light" w:hAnsi="等线 Light" w:eastAsia="等线 Light"/>
      <w:b w:val="0"/>
      <w:bCs w:val="0"/>
      <w:color w:val="2F5496"/>
      <w:kern w:val="0"/>
      <w:szCs w:val="32"/>
    </w:rPr>
  </w:style>
  <w:style w:type="character" w:styleId="137">
    <w:name w:val="Placeholder Text"/>
    <w:basedOn w:val="27"/>
    <w:semiHidden/>
    <w:qFormat/>
    <w:uiPriority w:val="99"/>
    <w:rPr>
      <w:color w:val="808080"/>
    </w:rPr>
  </w:style>
  <w:style w:type="character" w:customStyle="1" w:styleId="138">
    <w:name w:val="正文文本缩进 2 Char"/>
    <w:qFormat/>
    <w:uiPriority w:val="0"/>
    <w:rPr>
      <w:rFonts w:ascii="Times New Roman" w:hAnsi="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B8583F-A716-43D6-9B4F-7D493C4B3416}">
  <ds:schemaRefs/>
</ds:datastoreItem>
</file>

<file path=docProps/app.xml><?xml version="1.0" encoding="utf-8"?>
<Properties xmlns="http://schemas.openxmlformats.org/officeDocument/2006/extended-properties" xmlns:vt="http://schemas.openxmlformats.org/officeDocument/2006/docPropsVTypes">
  <Template>Normal.dotm</Template>
  <Pages>1</Pages>
  <Words>3711</Words>
  <Characters>21154</Characters>
  <Lines>176</Lines>
  <Paragraphs>49</Paragraphs>
  <TotalTime>350</TotalTime>
  <ScaleCrop>false</ScaleCrop>
  <LinksUpToDate>false</LinksUpToDate>
  <CharactersWithSpaces>24816</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2019-04-12T05:57:00Z</dcterms:created>
  <dc:creator>Administrator</dc:creator>
  <cp:lastModifiedBy>lenovo</cp:lastModifiedBy>
  <cp:lastPrinted>2019-07-15T05:43:00Z</cp:lastPrinted>
  <dcterms:modified xsi:type="dcterms:W3CDTF">2019-07-16T08:47:19Z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